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0E" w:rsidRDefault="003F5021">
      <w:pPr>
        <w:rPr>
          <w:b/>
        </w:rPr>
      </w:pPr>
      <w:bookmarkStart w:id="0" w:name="_GoBack"/>
      <w:bookmarkEnd w:id="0"/>
      <w:r>
        <w:rPr>
          <w:b/>
        </w:rPr>
        <w:t>Blood Bank</w:t>
      </w:r>
      <w:r w:rsidR="006074A7" w:rsidRPr="00B50E10">
        <w:rPr>
          <w:b/>
        </w:rPr>
        <w:t xml:space="preserve"> Rotation</w:t>
      </w:r>
      <w:r w:rsidR="00E71082" w:rsidRPr="00B50E10">
        <w:rPr>
          <w:b/>
        </w:rPr>
        <w:t>s</w:t>
      </w:r>
      <w:r w:rsidR="006074A7" w:rsidRPr="00B50E10">
        <w:rPr>
          <w:b/>
        </w:rPr>
        <w:t xml:space="preserve"> Goals and Objectives</w:t>
      </w:r>
    </w:p>
    <w:p w:rsidR="009C4001" w:rsidRPr="00B50E10" w:rsidRDefault="009C4001">
      <w:pPr>
        <w:rPr>
          <w:b/>
        </w:rPr>
      </w:pPr>
      <w:r>
        <w:rPr>
          <w:b/>
        </w:rPr>
        <w:t xml:space="preserve">Rotation Director:  </w:t>
      </w:r>
      <w:r w:rsidRPr="007345D3">
        <w:t>Robertson Davenport, M.D.</w:t>
      </w:r>
    </w:p>
    <w:p w:rsidR="001B790E" w:rsidRPr="00B50E10" w:rsidRDefault="00E71082">
      <w:r w:rsidRPr="00B50E10">
        <w:t xml:space="preserve">The goal of the </w:t>
      </w:r>
      <w:r w:rsidR="00B5780E" w:rsidRPr="00B50E10">
        <w:rPr>
          <w:b/>
          <w:u w:val="single"/>
        </w:rPr>
        <w:t xml:space="preserve">First </w:t>
      </w:r>
      <w:r w:rsidR="00B5780E">
        <w:rPr>
          <w:b/>
          <w:u w:val="single"/>
        </w:rPr>
        <w:t xml:space="preserve">Blood Bank </w:t>
      </w:r>
      <w:r w:rsidRPr="00B50E10">
        <w:rPr>
          <w:b/>
          <w:u w:val="single"/>
        </w:rPr>
        <w:t>R</w:t>
      </w:r>
      <w:r w:rsidR="006074A7" w:rsidRPr="00B50E10">
        <w:rPr>
          <w:b/>
          <w:u w:val="single"/>
        </w:rPr>
        <w:t>otation</w:t>
      </w:r>
      <w:r w:rsidR="006074A7" w:rsidRPr="00B50E10">
        <w:t xml:space="preserve"> is for the resident to move from being a </w:t>
      </w:r>
    </w:p>
    <w:p w:rsidR="00E71082" w:rsidRPr="00B50E10" w:rsidRDefault="006074A7" w:rsidP="00E71082">
      <w:proofErr w:type="gramStart"/>
      <w:r w:rsidRPr="00B50E10">
        <w:rPr>
          <w:b/>
        </w:rPr>
        <w:t>Novice</w:t>
      </w:r>
      <w:r w:rsidR="00E71082" w:rsidRPr="00B50E10">
        <w:rPr>
          <w:b/>
        </w:rPr>
        <w:t xml:space="preserve">  (</w:t>
      </w:r>
      <w:proofErr w:type="gramEnd"/>
      <w:r w:rsidR="00E71082" w:rsidRPr="00B50E10">
        <w:t>A novice knows little about the subject, and rigidly adheres to rules with little situational perception.  He/she does not feel responsible for outcomes. )</w:t>
      </w:r>
    </w:p>
    <w:p w:rsidR="00E71082" w:rsidRPr="00B50E10" w:rsidRDefault="00E71082" w:rsidP="00E71082">
      <w:r w:rsidRPr="00B50E10">
        <w:t>To</w:t>
      </w:r>
    </w:p>
    <w:p w:rsidR="00DD2E26" w:rsidRPr="00B50E10" w:rsidRDefault="006074A7" w:rsidP="00E71082">
      <w:r w:rsidRPr="00B50E10">
        <w:rPr>
          <w:b/>
        </w:rPr>
        <w:t>Advance</w:t>
      </w:r>
      <w:r w:rsidR="001B790E" w:rsidRPr="00B50E10">
        <w:rPr>
          <w:b/>
        </w:rPr>
        <w:t>d</w:t>
      </w:r>
      <w:r w:rsidRPr="00B50E10">
        <w:rPr>
          <w:b/>
        </w:rPr>
        <w:t xml:space="preserve"> Beginner</w:t>
      </w:r>
      <w:r w:rsidRPr="00B50E10">
        <w:t xml:space="preserve"> </w:t>
      </w:r>
      <w:r w:rsidR="00E71082" w:rsidRPr="00B50E10">
        <w:t>(The advanced beginner is still dependent on rules, but can adapt rules to changing circumstances.  However, all attributes of a situation tend to be given equal importance, and there is still little feeling of personal responsibility for outcomes.)</w:t>
      </w:r>
    </w:p>
    <w:tbl>
      <w:tblPr>
        <w:tblStyle w:val="TableGrid"/>
        <w:tblW w:w="13608" w:type="dxa"/>
        <w:tblLook w:val="04A0" w:firstRow="1" w:lastRow="0" w:firstColumn="1" w:lastColumn="0" w:noHBand="0" w:noVBand="1"/>
      </w:tblPr>
      <w:tblGrid>
        <w:gridCol w:w="4158"/>
        <w:gridCol w:w="9450"/>
      </w:tblGrid>
      <w:tr w:rsidR="00C507B5" w:rsidRPr="00B50E10" w:rsidTr="00C507B5">
        <w:tc>
          <w:tcPr>
            <w:tcW w:w="4158" w:type="dxa"/>
            <w:shd w:val="clear" w:color="auto" w:fill="EAF1DD" w:themeFill="accent3" w:themeFillTint="33"/>
          </w:tcPr>
          <w:p w:rsidR="00C507B5" w:rsidRPr="00B50E10" w:rsidRDefault="00C507B5">
            <w:pPr>
              <w:rPr>
                <w:b/>
              </w:rPr>
            </w:pPr>
            <w:r w:rsidRPr="00B50E10">
              <w:rPr>
                <w:b/>
              </w:rPr>
              <w:t>First Rotation Goals</w:t>
            </w:r>
          </w:p>
        </w:tc>
        <w:tc>
          <w:tcPr>
            <w:tcW w:w="9450" w:type="dxa"/>
            <w:shd w:val="clear" w:color="auto" w:fill="EAF1DD" w:themeFill="accent3" w:themeFillTint="33"/>
          </w:tcPr>
          <w:p w:rsidR="00C507B5" w:rsidRPr="00B50E10" w:rsidRDefault="004501D9">
            <w:pPr>
              <w:rPr>
                <w:b/>
              </w:rPr>
            </w:pPr>
            <w:r>
              <w:rPr>
                <w:b/>
              </w:rPr>
              <w:t xml:space="preserve">First </w:t>
            </w:r>
            <w:r w:rsidR="00C507B5" w:rsidRPr="00B50E10">
              <w:rPr>
                <w:b/>
              </w:rPr>
              <w:t>Rotation Objectives</w:t>
            </w:r>
          </w:p>
        </w:tc>
      </w:tr>
      <w:tr w:rsidR="00C507B5" w:rsidRPr="00B50E10" w:rsidTr="00C507B5">
        <w:tc>
          <w:tcPr>
            <w:tcW w:w="4158" w:type="dxa"/>
            <w:shd w:val="clear" w:color="auto" w:fill="EAF1DD" w:themeFill="accent3" w:themeFillTint="33"/>
          </w:tcPr>
          <w:p w:rsidR="00C507B5" w:rsidRPr="00B50E10" w:rsidRDefault="00C507B5">
            <w:pPr>
              <w:rPr>
                <w:b/>
              </w:rPr>
            </w:pPr>
            <w:r w:rsidRPr="00B50E10">
              <w:rPr>
                <w:b/>
              </w:rPr>
              <w:t>Medical Knowledge</w:t>
            </w:r>
          </w:p>
          <w:p w:rsidR="00C507B5" w:rsidRPr="00B50E10" w:rsidRDefault="000C6D5F">
            <w:r>
              <w:t>Acquires knowledge of pathophysiology and laboratory manifestations of routinely-encountered conditions; knows where to access information to fill gaps in knowledge.</w:t>
            </w:r>
          </w:p>
        </w:tc>
        <w:tc>
          <w:tcPr>
            <w:tcW w:w="9450" w:type="dxa"/>
            <w:shd w:val="clear" w:color="auto" w:fill="EAF1DD" w:themeFill="accent3" w:themeFillTint="33"/>
          </w:tcPr>
          <w:p w:rsidR="00E71082" w:rsidRDefault="00B5780E" w:rsidP="00E71082">
            <w:r>
              <w:t xml:space="preserve">The resident will acquire knowledge of </w:t>
            </w:r>
          </w:p>
          <w:p w:rsidR="00B5780E" w:rsidRDefault="00B5780E" w:rsidP="00B5780E">
            <w:pPr>
              <w:pStyle w:val="ListParagraph"/>
              <w:numPr>
                <w:ilvl w:val="0"/>
                <w:numId w:val="12"/>
              </w:numPr>
            </w:pPr>
            <w:r>
              <w:t>Blood donor qualification</w:t>
            </w:r>
          </w:p>
          <w:p w:rsidR="00B5780E" w:rsidRDefault="00B5780E" w:rsidP="00B5780E">
            <w:pPr>
              <w:pStyle w:val="ListParagraph"/>
              <w:numPr>
                <w:ilvl w:val="0"/>
                <w:numId w:val="12"/>
              </w:numPr>
            </w:pPr>
            <w:r>
              <w:t>Blood collection and component manufacturing</w:t>
            </w:r>
          </w:p>
          <w:p w:rsidR="00B5780E" w:rsidRDefault="00B5780E" w:rsidP="00B5780E">
            <w:pPr>
              <w:pStyle w:val="ListParagraph"/>
              <w:numPr>
                <w:ilvl w:val="0"/>
                <w:numId w:val="12"/>
              </w:numPr>
            </w:pPr>
            <w:r>
              <w:t>Blood typing and antibody identification</w:t>
            </w:r>
          </w:p>
          <w:p w:rsidR="00B5780E" w:rsidRDefault="00B5780E" w:rsidP="00B5780E">
            <w:pPr>
              <w:pStyle w:val="ListParagraph"/>
              <w:numPr>
                <w:ilvl w:val="0"/>
                <w:numId w:val="12"/>
              </w:numPr>
            </w:pPr>
            <w:r>
              <w:t>Indication</w:t>
            </w:r>
            <w:r w:rsidR="00C1440A">
              <w:t>s</w:t>
            </w:r>
            <w:r>
              <w:t xml:space="preserve"> for blood component transfusion</w:t>
            </w:r>
          </w:p>
          <w:p w:rsidR="00B5780E" w:rsidRDefault="00C1440A" w:rsidP="00B5780E">
            <w:pPr>
              <w:pStyle w:val="ListParagraph"/>
              <w:numPr>
                <w:ilvl w:val="0"/>
                <w:numId w:val="12"/>
              </w:numPr>
            </w:pPr>
            <w:r>
              <w:t>Transfusion reaction evaluation</w:t>
            </w:r>
          </w:p>
          <w:p w:rsidR="00C1440A" w:rsidRDefault="00C1440A" w:rsidP="00B5780E">
            <w:pPr>
              <w:pStyle w:val="ListParagraph"/>
              <w:numPr>
                <w:ilvl w:val="0"/>
                <w:numId w:val="12"/>
              </w:numPr>
            </w:pPr>
            <w:r>
              <w:t>Hematopoietic progenitor cell transplantation</w:t>
            </w:r>
          </w:p>
          <w:p w:rsidR="00C1440A" w:rsidRDefault="00C1440A" w:rsidP="00B5780E">
            <w:pPr>
              <w:pStyle w:val="ListParagraph"/>
              <w:numPr>
                <w:ilvl w:val="0"/>
                <w:numId w:val="12"/>
              </w:numPr>
            </w:pPr>
            <w:r>
              <w:t>Thrombosis and hemostasis evaluation</w:t>
            </w:r>
          </w:p>
          <w:p w:rsidR="00C1440A" w:rsidRDefault="00C1440A" w:rsidP="00B5780E">
            <w:pPr>
              <w:pStyle w:val="ListParagraph"/>
              <w:numPr>
                <w:ilvl w:val="0"/>
                <w:numId w:val="12"/>
              </w:numPr>
            </w:pPr>
            <w:r>
              <w:t>Therapeutic apheresis patient evaluation and management</w:t>
            </w:r>
          </w:p>
          <w:p w:rsidR="00C1440A" w:rsidRDefault="000E2509" w:rsidP="00B5780E">
            <w:pPr>
              <w:pStyle w:val="ListParagraph"/>
              <w:numPr>
                <w:ilvl w:val="0"/>
                <w:numId w:val="12"/>
              </w:numPr>
            </w:pPr>
            <w:r>
              <w:t>Platelet transfusion refractoriness</w:t>
            </w:r>
          </w:p>
          <w:p w:rsidR="00D80405" w:rsidRDefault="00D80405" w:rsidP="00B5780E">
            <w:pPr>
              <w:pStyle w:val="ListParagraph"/>
              <w:numPr>
                <w:ilvl w:val="0"/>
                <w:numId w:val="12"/>
              </w:numPr>
            </w:pPr>
            <w:r>
              <w:t>Blood bank laboratory management</w:t>
            </w:r>
          </w:p>
          <w:p w:rsidR="00D80405" w:rsidRPr="00B50E10" w:rsidRDefault="00D80405" w:rsidP="00B5780E">
            <w:pPr>
              <w:pStyle w:val="ListParagraph"/>
              <w:numPr>
                <w:ilvl w:val="0"/>
                <w:numId w:val="12"/>
              </w:numPr>
            </w:pPr>
            <w:r>
              <w:t>Basic regulatory compliance</w:t>
            </w:r>
          </w:p>
        </w:tc>
      </w:tr>
      <w:tr w:rsidR="00C507B5" w:rsidRPr="00B50E10" w:rsidTr="00C507B5">
        <w:tc>
          <w:tcPr>
            <w:tcW w:w="4158" w:type="dxa"/>
            <w:shd w:val="clear" w:color="auto" w:fill="EAF1DD" w:themeFill="accent3" w:themeFillTint="33"/>
          </w:tcPr>
          <w:p w:rsidR="00C507B5" w:rsidRPr="00B50E10" w:rsidRDefault="00C507B5">
            <w:pPr>
              <w:rPr>
                <w:b/>
              </w:rPr>
            </w:pPr>
            <w:r w:rsidRPr="00B50E10">
              <w:rPr>
                <w:b/>
              </w:rPr>
              <w:t>Patient Care</w:t>
            </w:r>
          </w:p>
          <w:p w:rsidR="00C507B5" w:rsidRPr="00B50E10" w:rsidRDefault="00C507B5">
            <w:r w:rsidRPr="00B50E10">
              <w:t>Is able to perform procedures necessary to generate laboratory information, gather clinical information needed to establish a diagnosis, and make observations relevant to the clinical situation.</w:t>
            </w:r>
          </w:p>
        </w:tc>
        <w:tc>
          <w:tcPr>
            <w:tcW w:w="9450" w:type="dxa"/>
            <w:shd w:val="clear" w:color="auto" w:fill="EAF1DD" w:themeFill="accent3" w:themeFillTint="33"/>
          </w:tcPr>
          <w:p w:rsidR="00C507B5" w:rsidRDefault="00C507B5" w:rsidP="00234B6E">
            <w:r w:rsidRPr="00B50E10">
              <w:t xml:space="preserve">With appropriate supervision (see below), the resident will </w:t>
            </w:r>
          </w:p>
          <w:p w:rsidR="00C1440A" w:rsidRDefault="00C1440A" w:rsidP="00C1440A">
            <w:pPr>
              <w:pStyle w:val="ListParagraph"/>
              <w:numPr>
                <w:ilvl w:val="0"/>
                <w:numId w:val="13"/>
              </w:numPr>
            </w:pPr>
            <w:r>
              <w:t>Assess the blood inventory</w:t>
            </w:r>
          </w:p>
          <w:p w:rsidR="00C1440A" w:rsidRDefault="00C1440A" w:rsidP="00C1440A">
            <w:pPr>
              <w:pStyle w:val="ListParagraph"/>
              <w:numPr>
                <w:ilvl w:val="0"/>
                <w:numId w:val="13"/>
              </w:numPr>
            </w:pPr>
            <w:r>
              <w:t>Review the surgery schedule and identify potentially problematic patients</w:t>
            </w:r>
          </w:p>
          <w:p w:rsidR="00C1440A" w:rsidRDefault="00C1440A" w:rsidP="00C1440A">
            <w:pPr>
              <w:pStyle w:val="ListParagraph"/>
              <w:numPr>
                <w:ilvl w:val="0"/>
                <w:numId w:val="13"/>
              </w:numPr>
            </w:pPr>
            <w:r>
              <w:t>Evaluate reported transfusion reactions and complete transfusion reaction reports</w:t>
            </w:r>
          </w:p>
          <w:p w:rsidR="00C1440A" w:rsidRDefault="00C1440A" w:rsidP="00C1440A">
            <w:pPr>
              <w:pStyle w:val="ListParagraph"/>
              <w:numPr>
                <w:ilvl w:val="0"/>
                <w:numId w:val="13"/>
              </w:numPr>
            </w:pPr>
            <w:r>
              <w:t xml:space="preserve">Evaluate therapeutic apheresis patients and write </w:t>
            </w:r>
            <w:r w:rsidR="009049F2">
              <w:t>procedure notes</w:t>
            </w:r>
          </w:p>
          <w:p w:rsidR="009049F2" w:rsidRDefault="009049F2" w:rsidP="00C1440A">
            <w:pPr>
              <w:pStyle w:val="ListParagraph"/>
              <w:numPr>
                <w:ilvl w:val="0"/>
                <w:numId w:val="13"/>
              </w:numPr>
            </w:pPr>
            <w:r>
              <w:t>Evaluate hematopoietic progenitor cell donors prior to collection</w:t>
            </w:r>
          </w:p>
          <w:p w:rsidR="00D80405" w:rsidRPr="00B50E10" w:rsidRDefault="000E2509" w:rsidP="00D80405">
            <w:pPr>
              <w:pStyle w:val="ListParagraph"/>
              <w:numPr>
                <w:ilvl w:val="0"/>
                <w:numId w:val="13"/>
              </w:numPr>
            </w:pPr>
            <w:r>
              <w:t>Evaluate patients for suspected immune hemolysis</w:t>
            </w:r>
          </w:p>
        </w:tc>
      </w:tr>
      <w:tr w:rsidR="00C507B5" w:rsidRPr="00B50E10" w:rsidTr="00C507B5">
        <w:trPr>
          <w:trHeight w:val="962"/>
        </w:trPr>
        <w:tc>
          <w:tcPr>
            <w:tcW w:w="4158" w:type="dxa"/>
            <w:shd w:val="clear" w:color="auto" w:fill="EAF1DD" w:themeFill="accent3" w:themeFillTint="33"/>
          </w:tcPr>
          <w:p w:rsidR="00C507B5" w:rsidRPr="00B50E10" w:rsidRDefault="00C507B5">
            <w:pPr>
              <w:rPr>
                <w:b/>
              </w:rPr>
            </w:pPr>
            <w:r w:rsidRPr="00B50E10">
              <w:rPr>
                <w:b/>
              </w:rPr>
              <w:lastRenderedPageBreak/>
              <w:t>Practice-based Learning and Improvement</w:t>
            </w:r>
          </w:p>
          <w:p w:rsidR="00C507B5" w:rsidRPr="00B50E10" w:rsidRDefault="00C507B5">
            <w:r w:rsidRPr="00B50E10">
              <w:t>Uses feedback and evaluations to generate or modify learning plan and improve skills.</w:t>
            </w:r>
          </w:p>
        </w:tc>
        <w:tc>
          <w:tcPr>
            <w:tcW w:w="9450" w:type="dxa"/>
            <w:shd w:val="clear" w:color="auto" w:fill="EAF1DD" w:themeFill="accent3" w:themeFillTint="33"/>
          </w:tcPr>
          <w:p w:rsidR="00C507B5" w:rsidRDefault="00C507B5" w:rsidP="000E2509">
            <w:r w:rsidRPr="00B50E10">
              <w:t>The  r</w:t>
            </w:r>
            <w:r w:rsidR="000E2509">
              <w:t>esident</w:t>
            </w:r>
            <w:r w:rsidR="002C7C92">
              <w:t xml:space="preserve"> will</w:t>
            </w:r>
            <w:r w:rsidR="000E2509">
              <w:t>:</w:t>
            </w:r>
          </w:p>
          <w:p w:rsidR="000E2509" w:rsidRDefault="000E2509" w:rsidP="000E2509">
            <w:pPr>
              <w:pStyle w:val="ListParagraph"/>
              <w:numPr>
                <w:ilvl w:val="0"/>
                <w:numId w:val="14"/>
              </w:numPr>
            </w:pPr>
            <w:r>
              <w:t>Use faculty feedback to improve patient evaluation and management of</w:t>
            </w:r>
          </w:p>
          <w:p w:rsidR="000E2509" w:rsidRDefault="000E2509" w:rsidP="000E2509">
            <w:pPr>
              <w:pStyle w:val="ListParagraph"/>
              <w:numPr>
                <w:ilvl w:val="1"/>
                <w:numId w:val="14"/>
              </w:numPr>
            </w:pPr>
            <w:r>
              <w:t>Transfusion reactions</w:t>
            </w:r>
          </w:p>
          <w:p w:rsidR="000E2509" w:rsidRDefault="000E2509" w:rsidP="000E2509">
            <w:pPr>
              <w:pStyle w:val="ListParagraph"/>
              <w:numPr>
                <w:ilvl w:val="1"/>
                <w:numId w:val="14"/>
              </w:numPr>
            </w:pPr>
            <w:r>
              <w:t>Blood component therapy recommendation</w:t>
            </w:r>
          </w:p>
          <w:p w:rsidR="000E2509" w:rsidRDefault="000E2509" w:rsidP="000E2509">
            <w:pPr>
              <w:pStyle w:val="ListParagraph"/>
              <w:numPr>
                <w:ilvl w:val="1"/>
                <w:numId w:val="14"/>
              </w:numPr>
            </w:pPr>
            <w:r>
              <w:t>Hemolysis evaluations</w:t>
            </w:r>
          </w:p>
          <w:p w:rsidR="000E2509" w:rsidRDefault="000E2509" w:rsidP="000E2509">
            <w:pPr>
              <w:pStyle w:val="ListParagraph"/>
              <w:numPr>
                <w:ilvl w:val="1"/>
                <w:numId w:val="14"/>
              </w:numPr>
            </w:pPr>
            <w:r>
              <w:t>Platelet refractoriness evaluations</w:t>
            </w:r>
          </w:p>
          <w:p w:rsidR="000E2509" w:rsidRDefault="000E2509" w:rsidP="000E2509">
            <w:pPr>
              <w:pStyle w:val="ListParagraph"/>
              <w:numPr>
                <w:ilvl w:val="1"/>
                <w:numId w:val="14"/>
              </w:numPr>
            </w:pPr>
            <w:r>
              <w:t>Hematopoietic progenitor cell donor evaluations</w:t>
            </w:r>
          </w:p>
          <w:p w:rsidR="000E2509" w:rsidRDefault="000E2509" w:rsidP="000E2509">
            <w:pPr>
              <w:pStyle w:val="ListParagraph"/>
              <w:numPr>
                <w:ilvl w:val="1"/>
                <w:numId w:val="14"/>
              </w:numPr>
            </w:pPr>
            <w:r>
              <w:t>Therapeutic apheresis patient evaluation and management</w:t>
            </w:r>
          </w:p>
          <w:p w:rsidR="000E2509" w:rsidRDefault="00D80405" w:rsidP="000E2509">
            <w:pPr>
              <w:pStyle w:val="ListParagraph"/>
              <w:numPr>
                <w:ilvl w:val="0"/>
                <w:numId w:val="14"/>
              </w:numPr>
            </w:pPr>
            <w:r>
              <w:t>Use nursing staff feedback to improve skills in donor and patient management</w:t>
            </w:r>
          </w:p>
          <w:p w:rsidR="00D80405" w:rsidRDefault="00D80405" w:rsidP="000E2509">
            <w:pPr>
              <w:pStyle w:val="ListParagraph"/>
              <w:numPr>
                <w:ilvl w:val="0"/>
                <w:numId w:val="14"/>
              </w:numPr>
            </w:pPr>
            <w:r>
              <w:t>Use technical staff feedback to improve</w:t>
            </w:r>
          </w:p>
          <w:p w:rsidR="00D80405" w:rsidRDefault="00D80405" w:rsidP="00D80405">
            <w:pPr>
              <w:pStyle w:val="ListParagraph"/>
              <w:numPr>
                <w:ilvl w:val="1"/>
                <w:numId w:val="14"/>
              </w:numPr>
            </w:pPr>
            <w:r>
              <w:t>Blood typing problem resolution</w:t>
            </w:r>
          </w:p>
          <w:p w:rsidR="00D80405" w:rsidRDefault="00D80405" w:rsidP="00D80405">
            <w:pPr>
              <w:pStyle w:val="ListParagraph"/>
              <w:numPr>
                <w:ilvl w:val="1"/>
                <w:numId w:val="14"/>
              </w:numPr>
            </w:pPr>
            <w:r>
              <w:t>Antibody identification</w:t>
            </w:r>
          </w:p>
          <w:p w:rsidR="00D80405" w:rsidRDefault="00D80405" w:rsidP="00D80405">
            <w:pPr>
              <w:pStyle w:val="ListParagraph"/>
              <w:numPr>
                <w:ilvl w:val="1"/>
                <w:numId w:val="14"/>
              </w:numPr>
            </w:pPr>
            <w:r>
              <w:t>Regulatory compliance</w:t>
            </w:r>
          </w:p>
          <w:p w:rsidR="00D80405" w:rsidRDefault="00D80405" w:rsidP="00D80405">
            <w:pPr>
              <w:pStyle w:val="ListParagraph"/>
              <w:numPr>
                <w:ilvl w:val="0"/>
                <w:numId w:val="14"/>
              </w:numPr>
            </w:pPr>
            <w:r>
              <w:t>See guidance in improving knowledge base and skills</w:t>
            </w:r>
          </w:p>
          <w:p w:rsidR="00D80405" w:rsidRPr="00B50E10" w:rsidRDefault="00D80405" w:rsidP="00D80405">
            <w:pPr>
              <w:pStyle w:val="ListParagraph"/>
              <w:numPr>
                <w:ilvl w:val="0"/>
                <w:numId w:val="14"/>
              </w:numPr>
            </w:pPr>
            <w:r>
              <w:t>Use the medical literature to improve evidence based practice</w:t>
            </w:r>
          </w:p>
        </w:tc>
      </w:tr>
      <w:tr w:rsidR="00C507B5" w:rsidRPr="00B50E10" w:rsidTr="00C507B5">
        <w:tc>
          <w:tcPr>
            <w:tcW w:w="4158" w:type="dxa"/>
            <w:shd w:val="clear" w:color="auto" w:fill="EAF1DD" w:themeFill="accent3" w:themeFillTint="33"/>
          </w:tcPr>
          <w:p w:rsidR="00C507B5" w:rsidRPr="00B50E10" w:rsidRDefault="00C507B5">
            <w:pPr>
              <w:rPr>
                <w:b/>
              </w:rPr>
            </w:pPr>
            <w:r w:rsidRPr="00B50E10">
              <w:rPr>
                <w:b/>
              </w:rPr>
              <w:t>Interpersonal and Communication Skills</w:t>
            </w:r>
          </w:p>
          <w:p w:rsidR="00C507B5" w:rsidRPr="00B50E10" w:rsidRDefault="00C507B5">
            <w:r w:rsidRPr="00B50E10">
              <w:t>Establishes collegial interactive and communication skills in dealing with others; structures reports that are clear, succinct, and follow templates; listens to and fulfills requests from other providers.</w:t>
            </w:r>
          </w:p>
        </w:tc>
        <w:tc>
          <w:tcPr>
            <w:tcW w:w="9450" w:type="dxa"/>
            <w:shd w:val="clear" w:color="auto" w:fill="EAF1DD" w:themeFill="accent3" w:themeFillTint="33"/>
          </w:tcPr>
          <w:p w:rsidR="00C507B5" w:rsidRDefault="00C9223B" w:rsidP="00C9223B">
            <w:r>
              <w:t>The resident will</w:t>
            </w:r>
          </w:p>
          <w:p w:rsidR="00C9223B" w:rsidRDefault="00C9223B" w:rsidP="00C9223B">
            <w:pPr>
              <w:pStyle w:val="ListParagraph"/>
              <w:numPr>
                <w:ilvl w:val="0"/>
                <w:numId w:val="15"/>
              </w:numPr>
            </w:pPr>
            <w:r>
              <w:t>Interact in a collegial way with the technical nursing staff with the goal of optimal patient care</w:t>
            </w:r>
          </w:p>
          <w:p w:rsidR="00C9223B" w:rsidRDefault="00C9223B" w:rsidP="00C9223B">
            <w:pPr>
              <w:pStyle w:val="ListParagraph"/>
              <w:numPr>
                <w:ilvl w:val="0"/>
                <w:numId w:val="15"/>
              </w:numPr>
            </w:pPr>
            <w:r>
              <w:t>Interact with patients is an appropriate and respectful manner</w:t>
            </w:r>
          </w:p>
          <w:p w:rsidR="00C9223B" w:rsidRDefault="00C9223B" w:rsidP="00C9223B">
            <w:pPr>
              <w:pStyle w:val="ListParagraph"/>
              <w:numPr>
                <w:ilvl w:val="0"/>
                <w:numId w:val="15"/>
              </w:numPr>
            </w:pPr>
            <w:r>
              <w:t>Be prepared and present clearly at morning report and signouts</w:t>
            </w:r>
          </w:p>
          <w:p w:rsidR="00C9223B" w:rsidRDefault="002C7C92" w:rsidP="00C9223B">
            <w:pPr>
              <w:pStyle w:val="ListParagraph"/>
              <w:numPr>
                <w:ilvl w:val="0"/>
                <w:numId w:val="15"/>
              </w:numPr>
            </w:pPr>
            <w:r>
              <w:t>Write clear, complete, accurate and concise reports and notes</w:t>
            </w:r>
          </w:p>
          <w:p w:rsidR="002C7C92" w:rsidRPr="00B50E10" w:rsidRDefault="002C7C92" w:rsidP="002C7C92">
            <w:pPr>
              <w:pStyle w:val="ListParagraph"/>
              <w:numPr>
                <w:ilvl w:val="0"/>
                <w:numId w:val="15"/>
              </w:numPr>
            </w:pPr>
            <w:r>
              <w:t>Communicate with the medical and nursing staff regarding problems</w:t>
            </w:r>
          </w:p>
        </w:tc>
      </w:tr>
      <w:tr w:rsidR="00C507B5" w:rsidRPr="00B50E10" w:rsidTr="00C507B5">
        <w:tc>
          <w:tcPr>
            <w:tcW w:w="4158" w:type="dxa"/>
            <w:shd w:val="clear" w:color="auto" w:fill="EAF1DD" w:themeFill="accent3" w:themeFillTint="33"/>
          </w:tcPr>
          <w:p w:rsidR="00C507B5" w:rsidRPr="00B50E10" w:rsidRDefault="00C507B5">
            <w:pPr>
              <w:rPr>
                <w:b/>
              </w:rPr>
            </w:pPr>
            <w:r w:rsidRPr="00B50E10">
              <w:rPr>
                <w:b/>
              </w:rPr>
              <w:t>Professionalism</w:t>
            </w:r>
          </w:p>
          <w:p w:rsidR="00C507B5" w:rsidRPr="00B50E10" w:rsidRDefault="000C6D5F">
            <w:r>
              <w:t>Is honest, compassionate, and respectful of others; complies with laws and regulations pertaining to medical practice; fulfills patient care and educational responsibilities faithfully. Understands professional responsibility to appear for duty rested and fit to provide service.</w:t>
            </w:r>
          </w:p>
        </w:tc>
        <w:tc>
          <w:tcPr>
            <w:tcW w:w="9450" w:type="dxa"/>
            <w:shd w:val="clear" w:color="auto" w:fill="EAF1DD" w:themeFill="accent3" w:themeFillTint="33"/>
          </w:tcPr>
          <w:p w:rsidR="00C507B5" w:rsidRDefault="002C7C92" w:rsidP="002C7C92">
            <w:r>
              <w:t>The resident will:</w:t>
            </w:r>
          </w:p>
          <w:p w:rsidR="002C7C92" w:rsidRDefault="002C7C92" w:rsidP="002C7C92">
            <w:pPr>
              <w:pStyle w:val="ListParagraph"/>
              <w:numPr>
                <w:ilvl w:val="0"/>
                <w:numId w:val="16"/>
              </w:numPr>
            </w:pPr>
            <w:r>
              <w:t>Attend morning report, teaching sessions, and signouts</w:t>
            </w:r>
          </w:p>
          <w:p w:rsidR="002C7C92" w:rsidRDefault="002C7C92" w:rsidP="002C7C92">
            <w:pPr>
              <w:pStyle w:val="ListParagraph"/>
              <w:numPr>
                <w:ilvl w:val="0"/>
                <w:numId w:val="16"/>
              </w:numPr>
            </w:pPr>
            <w:r>
              <w:t>Respond to requests and pages promptly</w:t>
            </w:r>
          </w:p>
          <w:p w:rsidR="002C7C92" w:rsidRDefault="002C7C92" w:rsidP="002C7C92">
            <w:pPr>
              <w:pStyle w:val="ListParagraph"/>
              <w:numPr>
                <w:ilvl w:val="0"/>
                <w:numId w:val="16"/>
              </w:numPr>
            </w:pPr>
            <w:r>
              <w:t>Be available to the faculty, technical staff, and nursing staff during all regular duty hours.</w:t>
            </w:r>
          </w:p>
          <w:p w:rsidR="002C7C92" w:rsidRPr="00B50E10" w:rsidRDefault="002C7C92" w:rsidP="002C7C92">
            <w:pPr>
              <w:pStyle w:val="ListParagraph"/>
              <w:numPr>
                <w:ilvl w:val="0"/>
                <w:numId w:val="5"/>
              </w:numPr>
            </w:pPr>
            <w:r>
              <w:t>Admit to</w:t>
            </w:r>
            <w:r w:rsidRPr="00B50E10">
              <w:t xml:space="preserve"> errors or omissions and takes steps to correct them</w:t>
            </w:r>
          </w:p>
          <w:p w:rsidR="002C7C92" w:rsidRPr="00B50E10" w:rsidRDefault="002C7C92" w:rsidP="002C7C92">
            <w:pPr>
              <w:pStyle w:val="ListParagraph"/>
              <w:numPr>
                <w:ilvl w:val="0"/>
                <w:numId w:val="5"/>
              </w:numPr>
            </w:pPr>
            <w:r>
              <w:t>Protect</w:t>
            </w:r>
            <w:r w:rsidRPr="00B50E10">
              <w:t xml:space="preserve"> patient privacy</w:t>
            </w:r>
          </w:p>
          <w:p w:rsidR="002C7C92" w:rsidRPr="00B50E10" w:rsidRDefault="002C7C92" w:rsidP="002C7C92">
            <w:pPr>
              <w:pStyle w:val="ListParagraph"/>
              <w:numPr>
                <w:ilvl w:val="0"/>
                <w:numId w:val="5"/>
              </w:numPr>
            </w:pPr>
            <w:r>
              <w:t>Be</w:t>
            </w:r>
            <w:r w:rsidRPr="00B50E10">
              <w:t xml:space="preserve"> sensitive to issues of race, gender, ethnic background, religion, sexual orientation and other social factors in dealing with patient care and in interactions with</w:t>
            </w:r>
            <w:r>
              <w:t xml:space="preserve"> patients, </w:t>
            </w:r>
            <w:r w:rsidRPr="00B50E10">
              <w:t xml:space="preserve"> other providers</w:t>
            </w:r>
            <w:r>
              <w:t>,</w:t>
            </w:r>
            <w:r w:rsidRPr="00B50E10">
              <w:t xml:space="preserve"> and other learners</w:t>
            </w:r>
          </w:p>
          <w:p w:rsidR="002C7C92" w:rsidRPr="00B50E10" w:rsidRDefault="002C7C92" w:rsidP="002C7C92">
            <w:pPr>
              <w:pStyle w:val="ListParagraph"/>
              <w:numPr>
                <w:ilvl w:val="0"/>
                <w:numId w:val="16"/>
              </w:numPr>
            </w:pPr>
            <w:r>
              <w:t>Treat</w:t>
            </w:r>
            <w:r w:rsidRPr="00B50E10">
              <w:t xml:space="preserve"> colleagues  at all levels with respect</w:t>
            </w:r>
          </w:p>
        </w:tc>
      </w:tr>
      <w:tr w:rsidR="00C507B5" w:rsidRPr="00B50E10" w:rsidTr="00C507B5">
        <w:tc>
          <w:tcPr>
            <w:tcW w:w="4158" w:type="dxa"/>
            <w:shd w:val="clear" w:color="auto" w:fill="EAF1DD" w:themeFill="accent3" w:themeFillTint="33"/>
          </w:tcPr>
          <w:p w:rsidR="00C507B5" w:rsidRPr="00B50E10" w:rsidRDefault="00C507B5">
            <w:pPr>
              <w:rPr>
                <w:b/>
              </w:rPr>
            </w:pPr>
            <w:r w:rsidRPr="00B50E10">
              <w:rPr>
                <w:b/>
              </w:rPr>
              <w:t>Systems-based Practice</w:t>
            </w:r>
          </w:p>
          <w:p w:rsidR="00C507B5" w:rsidRPr="00B50E10" w:rsidRDefault="000C6D5F">
            <w:r>
              <w:t xml:space="preserve">Identifies issues related to error, cost, and </w:t>
            </w:r>
            <w:r>
              <w:lastRenderedPageBreak/>
              <w:t>the need for interdisciplinary collaboration in the delivery of health care.  Conducts handoff at the conclusion of rotation with care and thoroughness.</w:t>
            </w:r>
          </w:p>
        </w:tc>
        <w:tc>
          <w:tcPr>
            <w:tcW w:w="9450" w:type="dxa"/>
            <w:shd w:val="clear" w:color="auto" w:fill="EAF1DD" w:themeFill="accent3" w:themeFillTint="33"/>
          </w:tcPr>
          <w:p w:rsidR="00C507B5" w:rsidRDefault="0073664F">
            <w:r>
              <w:lastRenderedPageBreak/>
              <w:t>The resident will:</w:t>
            </w:r>
          </w:p>
          <w:p w:rsidR="00C507B5" w:rsidRDefault="0073664F" w:rsidP="0073664F">
            <w:pPr>
              <w:pStyle w:val="ListParagraph"/>
              <w:numPr>
                <w:ilvl w:val="0"/>
                <w:numId w:val="16"/>
              </w:numPr>
            </w:pPr>
            <w:r>
              <w:t>Comply with applicable regulations and standards</w:t>
            </w:r>
          </w:p>
          <w:p w:rsidR="0073664F" w:rsidRDefault="0073664F" w:rsidP="0073664F">
            <w:pPr>
              <w:pStyle w:val="ListParagraph"/>
              <w:numPr>
                <w:ilvl w:val="0"/>
                <w:numId w:val="16"/>
              </w:numPr>
            </w:pPr>
            <w:r>
              <w:lastRenderedPageBreak/>
              <w:t>Comply with medical record documentation requirements</w:t>
            </w:r>
          </w:p>
          <w:p w:rsidR="0073664F" w:rsidRDefault="0073664F" w:rsidP="0073664F">
            <w:pPr>
              <w:pStyle w:val="ListParagraph"/>
              <w:numPr>
                <w:ilvl w:val="0"/>
                <w:numId w:val="16"/>
              </w:numPr>
            </w:pPr>
            <w:r>
              <w:t>Consider cost effectiveness in medical decision making</w:t>
            </w:r>
          </w:p>
          <w:p w:rsidR="0073664F" w:rsidRPr="00B50E10" w:rsidRDefault="009B5D39" w:rsidP="0073664F">
            <w:pPr>
              <w:pStyle w:val="ListParagraph"/>
              <w:numPr>
                <w:ilvl w:val="0"/>
                <w:numId w:val="16"/>
              </w:numPr>
            </w:pPr>
            <w:r>
              <w:t>Collaborate with other departments in delivery of optimal patient care</w:t>
            </w:r>
          </w:p>
        </w:tc>
      </w:tr>
    </w:tbl>
    <w:p w:rsidR="006074A7" w:rsidRPr="00B50E10" w:rsidRDefault="006074A7"/>
    <w:p w:rsidR="00C507B5" w:rsidRPr="00B50E10" w:rsidRDefault="00E71082" w:rsidP="00C507B5">
      <w:r w:rsidRPr="00B50E10">
        <w:t xml:space="preserve">The goal of the </w:t>
      </w:r>
      <w:r w:rsidRPr="00B50E10">
        <w:rPr>
          <w:b/>
        </w:rPr>
        <w:t>Second and T</w:t>
      </w:r>
      <w:r w:rsidR="00C507B5" w:rsidRPr="00B50E10">
        <w:rPr>
          <w:b/>
        </w:rPr>
        <w:t xml:space="preserve">hird </w:t>
      </w:r>
      <w:r w:rsidR="006A106E">
        <w:rPr>
          <w:b/>
        </w:rPr>
        <w:t>Blood Bank</w:t>
      </w:r>
      <w:r w:rsidRPr="00B50E10">
        <w:rPr>
          <w:b/>
        </w:rPr>
        <w:t xml:space="preserve"> R</w:t>
      </w:r>
      <w:r w:rsidR="00C507B5" w:rsidRPr="00B50E10">
        <w:rPr>
          <w:b/>
        </w:rPr>
        <w:t>otations</w:t>
      </w:r>
      <w:r w:rsidR="00C507B5" w:rsidRPr="00B50E10">
        <w:t xml:space="preserve"> is for the resident to move from being an </w:t>
      </w:r>
    </w:p>
    <w:p w:rsidR="00C507B5" w:rsidRPr="00B50E10" w:rsidRDefault="00C507B5" w:rsidP="00C507B5">
      <w:r w:rsidRPr="00B50E10">
        <w:rPr>
          <w:b/>
        </w:rPr>
        <w:t>Advanced Beginner</w:t>
      </w:r>
      <w:r w:rsidRPr="00B50E10">
        <w:t xml:space="preserve"> </w:t>
      </w:r>
      <w:r w:rsidR="00E71082" w:rsidRPr="00B50E10">
        <w:t>(The advanced beginner is still dependent on rules, but can adapt rules to changing circumstances.  However, all attributes of a situation tend to be given equal importance, and there is still little feeling of personal responsibility for outcomes.)</w:t>
      </w:r>
    </w:p>
    <w:p w:rsidR="00C507B5" w:rsidRPr="00B50E10" w:rsidRDefault="00C507B5" w:rsidP="00C507B5">
      <w:r w:rsidRPr="00B50E10">
        <w:t>To</w:t>
      </w:r>
    </w:p>
    <w:p w:rsidR="00C507B5" w:rsidRPr="00B50E10" w:rsidRDefault="00E71082">
      <w:r w:rsidRPr="00B50E10">
        <w:rPr>
          <w:b/>
        </w:rPr>
        <w:t>Competent</w:t>
      </w:r>
      <w:r w:rsidRPr="00B50E10">
        <w:t xml:space="preserve"> (The competent learner grasps the relevant facts, can sort information by relevance, can bring his/her own judgment to each case, and solve problems.  Guidelines are adapted to unexpected events.  He/she feels accountable for outcomes because of increasing decision-making.)</w:t>
      </w:r>
    </w:p>
    <w:tbl>
      <w:tblPr>
        <w:tblStyle w:val="TableGrid"/>
        <w:tblW w:w="13608" w:type="dxa"/>
        <w:tblLook w:val="04A0" w:firstRow="1" w:lastRow="0" w:firstColumn="1" w:lastColumn="0" w:noHBand="0" w:noVBand="1"/>
      </w:tblPr>
      <w:tblGrid>
        <w:gridCol w:w="4158"/>
        <w:gridCol w:w="9450"/>
      </w:tblGrid>
      <w:tr w:rsidR="00C507B5" w:rsidRPr="00B50E10" w:rsidTr="00C507B5">
        <w:tc>
          <w:tcPr>
            <w:tcW w:w="4158" w:type="dxa"/>
            <w:shd w:val="clear" w:color="auto" w:fill="FDE9D9" w:themeFill="accent6" w:themeFillTint="33"/>
          </w:tcPr>
          <w:p w:rsidR="00C507B5" w:rsidRPr="00B50E10" w:rsidRDefault="00C507B5" w:rsidP="00C507B5">
            <w:pPr>
              <w:rPr>
                <w:b/>
              </w:rPr>
            </w:pPr>
            <w:r w:rsidRPr="00B50E10">
              <w:rPr>
                <w:b/>
              </w:rPr>
              <w:t>Second and Third Rotation Goals</w:t>
            </w:r>
          </w:p>
        </w:tc>
        <w:tc>
          <w:tcPr>
            <w:tcW w:w="9450" w:type="dxa"/>
            <w:shd w:val="clear" w:color="auto" w:fill="FDE9D9" w:themeFill="accent6" w:themeFillTint="33"/>
          </w:tcPr>
          <w:p w:rsidR="00C507B5" w:rsidRPr="00B50E10" w:rsidRDefault="004501D9" w:rsidP="00C507B5">
            <w:pPr>
              <w:rPr>
                <w:b/>
              </w:rPr>
            </w:pPr>
            <w:r>
              <w:rPr>
                <w:b/>
              </w:rPr>
              <w:t>Second and Third</w:t>
            </w:r>
            <w:r w:rsidR="00C507B5" w:rsidRPr="00B50E10">
              <w:rPr>
                <w:b/>
              </w:rPr>
              <w:t xml:space="preserve"> Rotation Objectives</w:t>
            </w:r>
          </w:p>
        </w:tc>
      </w:tr>
      <w:tr w:rsidR="00C507B5" w:rsidRPr="00B50E10" w:rsidTr="00C507B5">
        <w:tc>
          <w:tcPr>
            <w:tcW w:w="4158" w:type="dxa"/>
            <w:shd w:val="clear" w:color="auto" w:fill="FDE9D9" w:themeFill="accent6" w:themeFillTint="33"/>
          </w:tcPr>
          <w:p w:rsidR="00E71082" w:rsidRPr="00B50E10" w:rsidRDefault="00E71082" w:rsidP="00C507B5">
            <w:pPr>
              <w:rPr>
                <w:b/>
              </w:rPr>
            </w:pPr>
            <w:r w:rsidRPr="00B50E10">
              <w:rPr>
                <w:b/>
              </w:rPr>
              <w:t>Medical Knowledge</w:t>
            </w:r>
          </w:p>
          <w:p w:rsidR="00C507B5" w:rsidRPr="00B50E10" w:rsidRDefault="000C6D5F" w:rsidP="00C507B5">
            <w:pPr>
              <w:rPr>
                <w:b/>
              </w:rPr>
            </w:pPr>
            <w:r>
              <w:t>Acquires knowledge of less commonly-encountered conditions and laboratory techniques; critically evaluates knowledge sources and uses evidence-based approach to acquire new knowledge.</w:t>
            </w:r>
          </w:p>
        </w:tc>
        <w:tc>
          <w:tcPr>
            <w:tcW w:w="9450" w:type="dxa"/>
            <w:shd w:val="clear" w:color="auto" w:fill="FDE9D9" w:themeFill="accent6" w:themeFillTint="33"/>
          </w:tcPr>
          <w:p w:rsidR="002958AA" w:rsidRDefault="00C507B5" w:rsidP="006A106E">
            <w:r w:rsidRPr="00B50E10">
              <w:t xml:space="preserve">The resident will </w:t>
            </w:r>
            <w:r w:rsidR="006A106E">
              <w:t>acquire knowledge of:</w:t>
            </w:r>
          </w:p>
          <w:p w:rsidR="006A106E" w:rsidRDefault="006A106E" w:rsidP="006A106E">
            <w:pPr>
              <w:pStyle w:val="ListParagraph"/>
              <w:numPr>
                <w:ilvl w:val="0"/>
                <w:numId w:val="17"/>
              </w:numPr>
            </w:pPr>
            <w:r>
              <w:t>Perinatal immunohematology</w:t>
            </w:r>
          </w:p>
          <w:p w:rsidR="006A106E" w:rsidRDefault="00EA2886" w:rsidP="006A106E">
            <w:pPr>
              <w:pStyle w:val="ListParagraph"/>
              <w:numPr>
                <w:ilvl w:val="0"/>
                <w:numId w:val="17"/>
              </w:numPr>
            </w:pPr>
            <w:r>
              <w:t>Transfusion transmitted diseases</w:t>
            </w:r>
          </w:p>
          <w:p w:rsidR="00EA2886" w:rsidRDefault="00EA2886" w:rsidP="006A106E">
            <w:pPr>
              <w:pStyle w:val="ListParagraph"/>
              <w:numPr>
                <w:ilvl w:val="0"/>
                <w:numId w:val="17"/>
              </w:numPr>
            </w:pPr>
            <w:r>
              <w:t>Massive transfusion and trauma support</w:t>
            </w:r>
          </w:p>
          <w:p w:rsidR="00AD306D" w:rsidRDefault="00AD306D" w:rsidP="006A106E">
            <w:pPr>
              <w:pStyle w:val="ListParagraph"/>
              <w:numPr>
                <w:ilvl w:val="0"/>
                <w:numId w:val="17"/>
              </w:numPr>
            </w:pPr>
            <w:proofErr w:type="spellStart"/>
            <w:r>
              <w:t>Hemoglobinopathies</w:t>
            </w:r>
            <w:proofErr w:type="spellEnd"/>
          </w:p>
          <w:p w:rsidR="00EA2886" w:rsidRDefault="00EA2886" w:rsidP="006A106E">
            <w:pPr>
              <w:pStyle w:val="ListParagraph"/>
              <w:numPr>
                <w:ilvl w:val="0"/>
                <w:numId w:val="17"/>
              </w:numPr>
            </w:pPr>
            <w:r>
              <w:t>Advanced methods in antibody identification and resolution</w:t>
            </w:r>
          </w:p>
          <w:p w:rsidR="00EA2886" w:rsidRDefault="00EA2886" w:rsidP="006A106E">
            <w:pPr>
              <w:pStyle w:val="ListParagraph"/>
              <w:numPr>
                <w:ilvl w:val="0"/>
                <w:numId w:val="17"/>
              </w:numPr>
            </w:pPr>
            <w:r>
              <w:t>Indications for special blood components including irradiation, washing, leukocyte reduction, and granulocytes</w:t>
            </w:r>
          </w:p>
          <w:p w:rsidR="00EA2886" w:rsidRDefault="00EA2886" w:rsidP="006A106E">
            <w:pPr>
              <w:pStyle w:val="ListParagraph"/>
              <w:numPr>
                <w:ilvl w:val="0"/>
                <w:numId w:val="17"/>
              </w:numPr>
            </w:pPr>
            <w:r>
              <w:t xml:space="preserve">Blood component recall and </w:t>
            </w:r>
            <w:proofErr w:type="spellStart"/>
            <w:r>
              <w:t>lookback</w:t>
            </w:r>
            <w:proofErr w:type="spellEnd"/>
            <w:r>
              <w:t xml:space="preserve"> management</w:t>
            </w:r>
          </w:p>
          <w:p w:rsidR="006A106E" w:rsidRPr="00B50E10" w:rsidRDefault="00EA2886" w:rsidP="009C7324">
            <w:pPr>
              <w:pStyle w:val="ListParagraph"/>
              <w:numPr>
                <w:ilvl w:val="0"/>
                <w:numId w:val="17"/>
              </w:numPr>
            </w:pPr>
            <w:r>
              <w:t>Blood shortage management</w:t>
            </w:r>
          </w:p>
        </w:tc>
      </w:tr>
      <w:tr w:rsidR="00C507B5" w:rsidRPr="00B50E10" w:rsidTr="00C507B5">
        <w:tc>
          <w:tcPr>
            <w:tcW w:w="4158" w:type="dxa"/>
            <w:shd w:val="clear" w:color="auto" w:fill="FDE9D9" w:themeFill="accent6" w:themeFillTint="33"/>
          </w:tcPr>
          <w:p w:rsidR="00C507B5" w:rsidRPr="00B50E10" w:rsidRDefault="00C507B5" w:rsidP="00C507B5">
            <w:pPr>
              <w:rPr>
                <w:b/>
              </w:rPr>
            </w:pPr>
            <w:r w:rsidRPr="00B50E10">
              <w:rPr>
                <w:b/>
              </w:rPr>
              <w:t>Patient Care</w:t>
            </w:r>
          </w:p>
          <w:p w:rsidR="00C507B5" w:rsidRPr="00B50E10" w:rsidRDefault="000C6D5F" w:rsidP="00C507B5">
            <w:pPr>
              <w:rPr>
                <w:b/>
              </w:rPr>
            </w:pPr>
            <w:r>
              <w:t>Uses laboratory data and own observations to generate accurate diagnoses and differential diagnoses; suggests appropriate ancillary studies as needed</w:t>
            </w:r>
            <w:proofErr w:type="gramStart"/>
            <w:r>
              <w:t>;  responds</w:t>
            </w:r>
            <w:proofErr w:type="gramEnd"/>
            <w:r>
              <w:t xml:space="preserve"> to requests for consultation.</w:t>
            </w:r>
          </w:p>
        </w:tc>
        <w:tc>
          <w:tcPr>
            <w:tcW w:w="9450" w:type="dxa"/>
            <w:shd w:val="clear" w:color="auto" w:fill="FDE9D9" w:themeFill="accent6" w:themeFillTint="33"/>
          </w:tcPr>
          <w:p w:rsidR="00C507B5" w:rsidRDefault="00C507B5" w:rsidP="00C507B5">
            <w:r w:rsidRPr="00B50E10">
              <w:t>With appropriate supervision (see below), the res</w:t>
            </w:r>
            <w:r w:rsidR="00EA2886">
              <w:t>ident will:</w:t>
            </w:r>
          </w:p>
          <w:p w:rsidR="00EA2886" w:rsidRDefault="00AD306D" w:rsidP="00CB3A83">
            <w:pPr>
              <w:pStyle w:val="ListParagraph"/>
              <w:numPr>
                <w:ilvl w:val="0"/>
                <w:numId w:val="18"/>
              </w:numPr>
            </w:pPr>
            <w:r>
              <w:t>Manage the blood inventory in time of shortage</w:t>
            </w:r>
          </w:p>
          <w:p w:rsidR="00AD306D" w:rsidRDefault="00AD306D" w:rsidP="00CB3A83">
            <w:pPr>
              <w:pStyle w:val="ListParagraph"/>
              <w:numPr>
                <w:ilvl w:val="0"/>
                <w:numId w:val="18"/>
              </w:numPr>
            </w:pPr>
            <w:r>
              <w:t>Manage complex and unresolved blood compatibility problems</w:t>
            </w:r>
          </w:p>
          <w:p w:rsidR="00AD306D" w:rsidRDefault="00AD306D" w:rsidP="00CB3A83">
            <w:pPr>
              <w:pStyle w:val="ListParagraph"/>
              <w:numPr>
                <w:ilvl w:val="0"/>
                <w:numId w:val="18"/>
              </w:numPr>
            </w:pPr>
            <w:r>
              <w:t>Recommend clinical management of suspected and confirmed transfusion reactions</w:t>
            </w:r>
          </w:p>
          <w:p w:rsidR="00AD306D" w:rsidRPr="00B50E10" w:rsidRDefault="00AD306D" w:rsidP="00CB3A83">
            <w:pPr>
              <w:pStyle w:val="ListParagraph"/>
              <w:numPr>
                <w:ilvl w:val="0"/>
                <w:numId w:val="18"/>
              </w:numPr>
            </w:pPr>
            <w:r>
              <w:t>Evaluate and manage adverse effects of apheresis</w:t>
            </w:r>
          </w:p>
          <w:p w:rsidR="00C507B5" w:rsidRPr="00B50E10" w:rsidRDefault="00C507B5" w:rsidP="004501D9">
            <w:pPr>
              <w:pStyle w:val="ListParagraph"/>
            </w:pPr>
          </w:p>
        </w:tc>
      </w:tr>
      <w:tr w:rsidR="00C507B5" w:rsidRPr="00B50E10" w:rsidTr="00C507B5">
        <w:trPr>
          <w:trHeight w:val="962"/>
        </w:trPr>
        <w:tc>
          <w:tcPr>
            <w:tcW w:w="4158" w:type="dxa"/>
            <w:shd w:val="clear" w:color="auto" w:fill="FDE9D9" w:themeFill="accent6" w:themeFillTint="33"/>
          </w:tcPr>
          <w:p w:rsidR="00C507B5" w:rsidRPr="00B50E10" w:rsidRDefault="00C507B5" w:rsidP="00C507B5">
            <w:pPr>
              <w:rPr>
                <w:b/>
              </w:rPr>
            </w:pPr>
            <w:r w:rsidRPr="00B50E10">
              <w:rPr>
                <w:b/>
              </w:rPr>
              <w:lastRenderedPageBreak/>
              <w:t>Practice-based Learning and Improvement</w:t>
            </w:r>
          </w:p>
          <w:p w:rsidR="00C507B5" w:rsidRPr="00B50E10" w:rsidRDefault="000C6D5F" w:rsidP="00C507B5">
            <w:pPr>
              <w:rPr>
                <w:b/>
              </w:rPr>
            </w:pPr>
            <w:r>
              <w:t>Adapts practices based on literature review, case outcomes, peer reviews, and system demands; seeks and gives feedback to improve self and others.</w:t>
            </w:r>
          </w:p>
        </w:tc>
        <w:tc>
          <w:tcPr>
            <w:tcW w:w="9450" w:type="dxa"/>
            <w:shd w:val="clear" w:color="auto" w:fill="FDE9D9" w:themeFill="accent6" w:themeFillTint="33"/>
          </w:tcPr>
          <w:p w:rsidR="00C507B5" w:rsidRDefault="00C507B5" w:rsidP="00AD306D">
            <w:r w:rsidRPr="00B50E10">
              <w:t>The  resident</w:t>
            </w:r>
            <w:r w:rsidR="00AD306D">
              <w:t xml:space="preserve"> will:</w:t>
            </w:r>
          </w:p>
          <w:p w:rsidR="00AD306D" w:rsidRDefault="00AD306D" w:rsidP="00AD306D">
            <w:pPr>
              <w:pStyle w:val="ListParagraph"/>
              <w:numPr>
                <w:ilvl w:val="0"/>
                <w:numId w:val="19"/>
              </w:numPr>
            </w:pPr>
            <w:r>
              <w:t>Continue to improve reports and notes based on feedback from the faculty</w:t>
            </w:r>
          </w:p>
          <w:p w:rsidR="00AD306D" w:rsidRDefault="00AD306D" w:rsidP="00AD306D">
            <w:pPr>
              <w:pStyle w:val="ListParagraph"/>
              <w:numPr>
                <w:ilvl w:val="0"/>
                <w:numId w:val="19"/>
              </w:numPr>
            </w:pPr>
            <w:r>
              <w:t>Continue to improve clinical skill in patient evaluation</w:t>
            </w:r>
          </w:p>
          <w:p w:rsidR="00AD306D" w:rsidRDefault="0026357B" w:rsidP="00AD306D">
            <w:pPr>
              <w:pStyle w:val="ListParagraph"/>
              <w:numPr>
                <w:ilvl w:val="0"/>
                <w:numId w:val="19"/>
              </w:numPr>
            </w:pPr>
            <w:r>
              <w:t>Investigate the medical literature in support of patient management and problem resolution</w:t>
            </w:r>
          </w:p>
          <w:p w:rsidR="0026357B" w:rsidRPr="00B50E10" w:rsidRDefault="0026357B" w:rsidP="00AD306D">
            <w:pPr>
              <w:pStyle w:val="ListParagraph"/>
              <w:numPr>
                <w:ilvl w:val="0"/>
                <w:numId w:val="19"/>
              </w:numPr>
            </w:pPr>
            <w:r>
              <w:t>M</w:t>
            </w:r>
            <w:r w:rsidR="00C01940">
              <w:t>entor</w:t>
            </w:r>
            <w:r>
              <w:t xml:space="preserve"> junior residents</w:t>
            </w:r>
          </w:p>
        </w:tc>
      </w:tr>
      <w:tr w:rsidR="00C507B5" w:rsidRPr="00B50E10" w:rsidTr="00C507B5">
        <w:tc>
          <w:tcPr>
            <w:tcW w:w="4158" w:type="dxa"/>
            <w:shd w:val="clear" w:color="auto" w:fill="FDE9D9" w:themeFill="accent6" w:themeFillTint="33"/>
          </w:tcPr>
          <w:p w:rsidR="00C507B5" w:rsidRPr="00B50E10" w:rsidRDefault="00C507B5" w:rsidP="00C507B5">
            <w:pPr>
              <w:rPr>
                <w:b/>
              </w:rPr>
            </w:pPr>
            <w:r w:rsidRPr="00B50E10">
              <w:rPr>
                <w:b/>
              </w:rPr>
              <w:t>Interpersonal and Communication Skills</w:t>
            </w:r>
          </w:p>
          <w:p w:rsidR="00C507B5" w:rsidRPr="00B50E10" w:rsidRDefault="000C6D5F" w:rsidP="00C507B5">
            <w:pPr>
              <w:rPr>
                <w:b/>
              </w:rPr>
            </w:pPr>
            <w:r>
              <w:t xml:space="preserve">Effectively communicates in a variety of settings, including during conferences, while providing consultations, and teaching peers.  </w:t>
            </w:r>
          </w:p>
        </w:tc>
        <w:tc>
          <w:tcPr>
            <w:tcW w:w="9450" w:type="dxa"/>
            <w:shd w:val="clear" w:color="auto" w:fill="FDE9D9" w:themeFill="accent6" w:themeFillTint="33"/>
          </w:tcPr>
          <w:p w:rsidR="00C507B5" w:rsidRDefault="00C507B5" w:rsidP="00C507B5">
            <w:r w:rsidRPr="00B50E10">
              <w:t>The resident will</w:t>
            </w:r>
            <w:r w:rsidR="0026357B">
              <w:t>:</w:t>
            </w:r>
          </w:p>
          <w:p w:rsidR="0026357B" w:rsidRDefault="0026357B" w:rsidP="0026357B">
            <w:pPr>
              <w:pStyle w:val="ListParagraph"/>
              <w:numPr>
                <w:ilvl w:val="0"/>
                <w:numId w:val="20"/>
              </w:numPr>
            </w:pPr>
            <w:r>
              <w:t>Present at CP case conference</w:t>
            </w:r>
          </w:p>
          <w:p w:rsidR="0026357B" w:rsidRDefault="0026357B" w:rsidP="0026357B">
            <w:pPr>
              <w:pStyle w:val="ListParagraph"/>
              <w:numPr>
                <w:ilvl w:val="0"/>
                <w:numId w:val="20"/>
              </w:numPr>
            </w:pPr>
            <w:r>
              <w:t>Continue to improve communications with the medical, nursing and technical staff</w:t>
            </w:r>
          </w:p>
          <w:p w:rsidR="0026357B" w:rsidRDefault="0026357B" w:rsidP="0026357B">
            <w:pPr>
              <w:pStyle w:val="ListParagraph"/>
              <w:numPr>
                <w:ilvl w:val="0"/>
                <w:numId w:val="20"/>
              </w:numPr>
            </w:pPr>
            <w:r>
              <w:t>Continue to improve written reports and notes</w:t>
            </w:r>
          </w:p>
          <w:p w:rsidR="0026357B" w:rsidRPr="00B50E10" w:rsidRDefault="0026357B" w:rsidP="0026357B">
            <w:pPr>
              <w:pStyle w:val="ListParagraph"/>
              <w:numPr>
                <w:ilvl w:val="0"/>
                <w:numId w:val="20"/>
              </w:numPr>
            </w:pPr>
            <w:r>
              <w:t>Continue to improve communication with patients</w:t>
            </w:r>
          </w:p>
          <w:p w:rsidR="005B1898" w:rsidRPr="00B50E10" w:rsidRDefault="005B1898" w:rsidP="004501D9">
            <w:pPr>
              <w:pStyle w:val="ListParagraph"/>
            </w:pPr>
          </w:p>
        </w:tc>
      </w:tr>
      <w:tr w:rsidR="00C507B5" w:rsidRPr="00B50E10" w:rsidTr="00C507B5">
        <w:tc>
          <w:tcPr>
            <w:tcW w:w="4158" w:type="dxa"/>
            <w:shd w:val="clear" w:color="auto" w:fill="FDE9D9" w:themeFill="accent6" w:themeFillTint="33"/>
          </w:tcPr>
          <w:p w:rsidR="00C507B5" w:rsidRPr="00B50E10" w:rsidRDefault="00C507B5" w:rsidP="00C507B5">
            <w:pPr>
              <w:rPr>
                <w:b/>
              </w:rPr>
            </w:pPr>
            <w:r w:rsidRPr="00B50E10">
              <w:rPr>
                <w:b/>
              </w:rPr>
              <w:t>Professionalism</w:t>
            </w:r>
          </w:p>
          <w:p w:rsidR="00C507B5" w:rsidRPr="00B50E10" w:rsidRDefault="000C6D5F" w:rsidP="00C507B5">
            <w:pPr>
              <w:rPr>
                <w:b/>
              </w:rPr>
            </w:pPr>
            <w:r>
              <w:t>Manages patient care duties and interacts with other providers with compassion and respect for diversity; recognizes and responds to need for help from colleagues.</w:t>
            </w:r>
          </w:p>
        </w:tc>
        <w:tc>
          <w:tcPr>
            <w:tcW w:w="9450" w:type="dxa"/>
            <w:shd w:val="clear" w:color="auto" w:fill="FDE9D9" w:themeFill="accent6" w:themeFillTint="33"/>
          </w:tcPr>
          <w:p w:rsidR="005B1898" w:rsidRDefault="00C507B5" w:rsidP="00C01940">
            <w:r w:rsidRPr="00B50E10">
              <w:t>The resident</w:t>
            </w:r>
            <w:r w:rsidR="0026357B">
              <w:t xml:space="preserve"> will</w:t>
            </w:r>
            <w:r w:rsidR="00C01940">
              <w:t>:</w:t>
            </w:r>
          </w:p>
          <w:p w:rsidR="00C01940" w:rsidRPr="00B50E10" w:rsidRDefault="00477F60" w:rsidP="00C01940">
            <w:pPr>
              <w:pStyle w:val="ListParagraph"/>
              <w:numPr>
                <w:ilvl w:val="0"/>
                <w:numId w:val="21"/>
              </w:numPr>
            </w:pPr>
            <w:r>
              <w:t xml:space="preserve">Serve as a mentor to junior residents </w:t>
            </w:r>
          </w:p>
        </w:tc>
      </w:tr>
      <w:tr w:rsidR="00C507B5" w:rsidRPr="00B50E10" w:rsidTr="00A15DB7">
        <w:trPr>
          <w:trHeight w:val="1295"/>
        </w:trPr>
        <w:tc>
          <w:tcPr>
            <w:tcW w:w="4158" w:type="dxa"/>
            <w:shd w:val="clear" w:color="auto" w:fill="FDE9D9" w:themeFill="accent6" w:themeFillTint="33"/>
          </w:tcPr>
          <w:p w:rsidR="00C507B5" w:rsidRPr="00B50E10" w:rsidRDefault="00C507B5" w:rsidP="00C507B5">
            <w:pPr>
              <w:rPr>
                <w:b/>
              </w:rPr>
            </w:pPr>
            <w:r w:rsidRPr="00B50E10">
              <w:rPr>
                <w:b/>
              </w:rPr>
              <w:t>Systems-based Practice</w:t>
            </w:r>
          </w:p>
          <w:p w:rsidR="00C507B5" w:rsidRPr="00B50E10" w:rsidRDefault="000C6D5F" w:rsidP="00C507B5">
            <w:pPr>
              <w:rPr>
                <w:b/>
              </w:rPr>
            </w:pPr>
            <w:r>
              <w:t>Improves patient outcomes and promotes efficiency by making decisions based on best evidence of outcomes, and by involvement in quality initiatives.</w:t>
            </w:r>
          </w:p>
        </w:tc>
        <w:tc>
          <w:tcPr>
            <w:tcW w:w="9450" w:type="dxa"/>
            <w:shd w:val="clear" w:color="auto" w:fill="FDE9D9" w:themeFill="accent6" w:themeFillTint="33"/>
          </w:tcPr>
          <w:p w:rsidR="00C507B5" w:rsidRPr="00B50E10" w:rsidRDefault="00C507B5" w:rsidP="00C507B5">
            <w:r w:rsidRPr="00B50E10">
              <w:t>The resident</w:t>
            </w:r>
            <w:r w:rsidR="00C01940">
              <w:t xml:space="preserve"> will</w:t>
            </w:r>
            <w:r w:rsidRPr="00B50E10">
              <w:t>:</w:t>
            </w:r>
          </w:p>
          <w:p w:rsidR="00C507B5" w:rsidRDefault="00C01940" w:rsidP="00C01940">
            <w:pPr>
              <w:pStyle w:val="ListParagraph"/>
              <w:numPr>
                <w:ilvl w:val="0"/>
                <w:numId w:val="21"/>
              </w:numPr>
            </w:pPr>
            <w:r>
              <w:t>Participate in laboratory inspections</w:t>
            </w:r>
          </w:p>
          <w:p w:rsidR="00010727" w:rsidRPr="00B50E10" w:rsidRDefault="00010727" w:rsidP="00C01940">
            <w:pPr>
              <w:pStyle w:val="ListParagraph"/>
              <w:numPr>
                <w:ilvl w:val="0"/>
                <w:numId w:val="21"/>
              </w:numPr>
            </w:pPr>
            <w:r>
              <w:t>With the faculty, review occurrence reports</w:t>
            </w:r>
          </w:p>
        </w:tc>
      </w:tr>
    </w:tbl>
    <w:p w:rsidR="001B790E" w:rsidRPr="00B50E10" w:rsidRDefault="001B790E"/>
    <w:p w:rsidR="00AF0AD9" w:rsidRPr="00B50E10" w:rsidRDefault="00AF0AD9"/>
    <w:p w:rsidR="00992BC9" w:rsidRPr="00B50E10" w:rsidRDefault="00992BC9" w:rsidP="00992BC9"/>
    <w:p w:rsidR="00992BC9" w:rsidRPr="00B50E10" w:rsidRDefault="00992BC9" w:rsidP="00992BC9">
      <w:r w:rsidRPr="00B50E10">
        <w:t xml:space="preserve">The goal of the </w:t>
      </w:r>
      <w:r w:rsidR="004501D9">
        <w:rPr>
          <w:b/>
        </w:rPr>
        <w:t xml:space="preserve">Final </w:t>
      </w:r>
      <w:r w:rsidR="00477F60">
        <w:rPr>
          <w:b/>
        </w:rPr>
        <w:t>Blood Bank</w:t>
      </w:r>
      <w:r w:rsidR="00477F60" w:rsidRPr="00B50E10">
        <w:rPr>
          <w:b/>
        </w:rPr>
        <w:t xml:space="preserve"> </w:t>
      </w:r>
      <w:r w:rsidRPr="00B50E10">
        <w:rPr>
          <w:b/>
        </w:rPr>
        <w:t>Rotation</w:t>
      </w:r>
      <w:r w:rsidRPr="00B50E10">
        <w:t xml:space="preserve"> is for the resident to move from being</w:t>
      </w:r>
    </w:p>
    <w:p w:rsidR="00992BC9" w:rsidRPr="00B50E10" w:rsidRDefault="00992BC9" w:rsidP="00992BC9">
      <w:r w:rsidRPr="00B50E10">
        <w:rPr>
          <w:b/>
        </w:rPr>
        <w:t>Competent</w:t>
      </w:r>
      <w:r w:rsidRPr="00B50E10">
        <w:t xml:space="preserve"> (The competent learner grasps the relevant facts, can sort information by relevance, can bring his/her own judgment to each case, and solve problems.  Guidelines are adapted to unexpected events.  He/she feels accountable for outcomes because of increasing decision-making.)</w:t>
      </w:r>
    </w:p>
    <w:p w:rsidR="00992BC9" w:rsidRPr="00B50E10" w:rsidRDefault="00992BC9" w:rsidP="00992BC9">
      <w:r w:rsidRPr="00B50E10">
        <w:t>To</w:t>
      </w:r>
    </w:p>
    <w:p w:rsidR="00992BC9" w:rsidRPr="00B50E10" w:rsidRDefault="00992BC9" w:rsidP="00992BC9">
      <w:r w:rsidRPr="00B50E10">
        <w:rPr>
          <w:b/>
        </w:rPr>
        <w:lastRenderedPageBreak/>
        <w:t xml:space="preserve">Proficient </w:t>
      </w:r>
      <w:r w:rsidRPr="00B50E10">
        <w:t>(</w:t>
      </w:r>
      <w:r w:rsidR="008F364F" w:rsidRPr="00B50E10">
        <w:t>(</w:t>
      </w:r>
      <w:proofErr w:type="spellStart"/>
      <w:r w:rsidRPr="00B50E10">
        <w:rPr>
          <w:rFonts w:cs="Tahoma"/>
          <w:color w:val="000000"/>
        </w:rPr>
        <w:t>Characterised</w:t>
      </w:r>
      <w:proofErr w:type="spellEnd"/>
      <w:r w:rsidRPr="00B50E10">
        <w:rPr>
          <w:rFonts w:cs="Tahoma"/>
          <w:color w:val="000000"/>
        </w:rPr>
        <w:t xml:space="preserve"> by the progress of the learner from step-by-step analysis and </w:t>
      </w:r>
      <w:r w:rsidR="008F364F" w:rsidRPr="00B50E10">
        <w:rPr>
          <w:rFonts w:cs="Tahoma"/>
          <w:color w:val="000000"/>
        </w:rPr>
        <w:t>task performance</w:t>
      </w:r>
      <w:r w:rsidRPr="00B50E10">
        <w:rPr>
          <w:rFonts w:cs="Tahoma"/>
          <w:color w:val="000000"/>
        </w:rPr>
        <w:t xml:space="preserve"> to </w:t>
      </w:r>
      <w:r w:rsidR="008F364F" w:rsidRPr="00B50E10">
        <w:rPr>
          <w:rFonts w:cs="Tahoma"/>
          <w:color w:val="000000"/>
        </w:rPr>
        <w:t>a</w:t>
      </w:r>
      <w:r w:rsidRPr="00B50E10">
        <w:rPr>
          <w:rFonts w:cs="Tahoma"/>
          <w:color w:val="000000"/>
        </w:rPr>
        <w:t xml:space="preserve"> holistic perception of the entirety of the situation. Uses pattern recognition arising from experience to identify problems. Perceives deviations from what is expected.  </w:t>
      </w:r>
      <w:proofErr w:type="gramStart"/>
      <w:r w:rsidRPr="00B50E10">
        <w:rPr>
          <w:rFonts w:cs="Tahoma"/>
          <w:color w:val="000000"/>
        </w:rPr>
        <w:t>Learns from the experience of others.</w:t>
      </w:r>
      <w:proofErr w:type="gramEnd"/>
      <w:r w:rsidRPr="00B50E10">
        <w:rPr>
          <w:rFonts w:cs="Tahoma"/>
          <w:color w:val="000000"/>
        </w:rPr>
        <w:t xml:space="preserve">   Sense of responsibility grows with increasing decision-making.</w:t>
      </w:r>
      <w:r w:rsidRPr="00B50E10">
        <w:t xml:space="preserve"> </w:t>
      </w:r>
      <w:r w:rsidR="008F364F" w:rsidRPr="00B50E10">
        <w:t>)</w:t>
      </w:r>
    </w:p>
    <w:p w:rsidR="00AF0AD9" w:rsidRPr="00B50E10" w:rsidRDefault="00AF0AD9"/>
    <w:tbl>
      <w:tblPr>
        <w:tblStyle w:val="TableGrid"/>
        <w:tblW w:w="13608" w:type="dxa"/>
        <w:tblLook w:val="04A0" w:firstRow="1" w:lastRow="0" w:firstColumn="1" w:lastColumn="0" w:noHBand="0" w:noVBand="1"/>
      </w:tblPr>
      <w:tblGrid>
        <w:gridCol w:w="4158"/>
        <w:gridCol w:w="9450"/>
      </w:tblGrid>
      <w:tr w:rsidR="00AF0AD9" w:rsidRPr="00B50E10" w:rsidTr="00AF0AD9">
        <w:tc>
          <w:tcPr>
            <w:tcW w:w="4158" w:type="dxa"/>
            <w:shd w:val="clear" w:color="auto" w:fill="DBE5F1" w:themeFill="accent1" w:themeFillTint="33"/>
          </w:tcPr>
          <w:p w:rsidR="00AF0AD9" w:rsidRPr="00B50E10" w:rsidRDefault="00734B58" w:rsidP="00AF0AD9">
            <w:pPr>
              <w:rPr>
                <w:b/>
              </w:rPr>
            </w:pPr>
            <w:r w:rsidRPr="00B50E10">
              <w:rPr>
                <w:b/>
              </w:rPr>
              <w:t xml:space="preserve">Final </w:t>
            </w:r>
            <w:r w:rsidR="00AF0AD9" w:rsidRPr="00B50E10">
              <w:rPr>
                <w:b/>
              </w:rPr>
              <w:t xml:space="preserve"> Rotation Goals</w:t>
            </w:r>
          </w:p>
        </w:tc>
        <w:tc>
          <w:tcPr>
            <w:tcW w:w="9450" w:type="dxa"/>
            <w:shd w:val="clear" w:color="auto" w:fill="DBE5F1" w:themeFill="accent1" w:themeFillTint="33"/>
          </w:tcPr>
          <w:p w:rsidR="00AF0AD9" w:rsidRPr="00B50E10" w:rsidRDefault="00734B58" w:rsidP="00AF0AD9">
            <w:pPr>
              <w:rPr>
                <w:b/>
              </w:rPr>
            </w:pPr>
            <w:r w:rsidRPr="00B50E10">
              <w:rPr>
                <w:b/>
              </w:rPr>
              <w:t xml:space="preserve">Final </w:t>
            </w:r>
            <w:r w:rsidR="004501D9">
              <w:rPr>
                <w:b/>
              </w:rPr>
              <w:t xml:space="preserve"> </w:t>
            </w:r>
            <w:r w:rsidR="00AF0AD9" w:rsidRPr="00B50E10">
              <w:rPr>
                <w:b/>
              </w:rPr>
              <w:t>Rotation Objectives</w:t>
            </w:r>
          </w:p>
        </w:tc>
      </w:tr>
      <w:tr w:rsidR="00AF0AD9" w:rsidRPr="00B50E10" w:rsidTr="00AF0AD9">
        <w:tc>
          <w:tcPr>
            <w:tcW w:w="4158" w:type="dxa"/>
            <w:shd w:val="clear" w:color="auto" w:fill="DBE5F1" w:themeFill="accent1" w:themeFillTint="33"/>
          </w:tcPr>
          <w:p w:rsidR="00AF0AD9" w:rsidRPr="00B50E10" w:rsidRDefault="00AF0AD9" w:rsidP="00AF0AD9">
            <w:pPr>
              <w:rPr>
                <w:b/>
              </w:rPr>
            </w:pPr>
            <w:r w:rsidRPr="00B50E10">
              <w:rPr>
                <w:b/>
              </w:rPr>
              <w:t>Medical Knowledge</w:t>
            </w:r>
          </w:p>
          <w:p w:rsidR="00AF0AD9" w:rsidRPr="00B50E10" w:rsidRDefault="000C6D5F" w:rsidP="00AF0AD9">
            <w:pPr>
              <w:rPr>
                <w:b/>
              </w:rPr>
            </w:pPr>
            <w:r>
              <w:t>Exercises judgment in application of evidence-based knowledge to patient and to patient population; assists junior residents and other learners in accessing sources of medical knowledge.</w:t>
            </w:r>
          </w:p>
        </w:tc>
        <w:tc>
          <w:tcPr>
            <w:tcW w:w="9450" w:type="dxa"/>
            <w:shd w:val="clear" w:color="auto" w:fill="DBE5F1" w:themeFill="accent1" w:themeFillTint="33"/>
          </w:tcPr>
          <w:p w:rsidR="00603A20" w:rsidRDefault="00603A20" w:rsidP="00603A20">
            <w:r w:rsidRPr="00B50E10">
              <w:t xml:space="preserve">The resident will </w:t>
            </w:r>
            <w:r>
              <w:t>acquire knowledge of:</w:t>
            </w:r>
          </w:p>
          <w:p w:rsidR="00AF0AD9" w:rsidRDefault="00F952FE" w:rsidP="00603A20">
            <w:pPr>
              <w:pStyle w:val="ListParagraph"/>
              <w:numPr>
                <w:ilvl w:val="0"/>
                <w:numId w:val="22"/>
              </w:numPr>
            </w:pPr>
            <w:r>
              <w:t>Transfusion service management</w:t>
            </w:r>
          </w:p>
          <w:p w:rsidR="00F952FE" w:rsidRDefault="00F952FE" w:rsidP="00603A20">
            <w:pPr>
              <w:pStyle w:val="ListParagraph"/>
              <w:numPr>
                <w:ilvl w:val="0"/>
                <w:numId w:val="22"/>
              </w:numPr>
            </w:pPr>
            <w:r>
              <w:t>Pathophysiology of transfusion reactions</w:t>
            </w:r>
          </w:p>
          <w:p w:rsidR="00F952FE" w:rsidRDefault="00F952FE" w:rsidP="00603A20">
            <w:pPr>
              <w:pStyle w:val="ListParagraph"/>
              <w:numPr>
                <w:ilvl w:val="0"/>
                <w:numId w:val="22"/>
              </w:numPr>
            </w:pPr>
            <w:r>
              <w:t>Advanced red cell serology</w:t>
            </w:r>
          </w:p>
          <w:p w:rsidR="00F952FE" w:rsidRDefault="00F952FE" w:rsidP="00603A20">
            <w:pPr>
              <w:pStyle w:val="ListParagraph"/>
              <w:numPr>
                <w:ilvl w:val="0"/>
                <w:numId w:val="22"/>
              </w:numPr>
            </w:pPr>
            <w:r>
              <w:t>Blood group genetics and molecular testing</w:t>
            </w:r>
          </w:p>
          <w:p w:rsidR="00F952FE" w:rsidRDefault="00F952FE" w:rsidP="00603A20">
            <w:pPr>
              <w:pStyle w:val="ListParagraph"/>
              <w:numPr>
                <w:ilvl w:val="0"/>
                <w:numId w:val="22"/>
              </w:numPr>
            </w:pPr>
            <w:r>
              <w:t>Blood management</w:t>
            </w:r>
          </w:p>
          <w:p w:rsidR="00611200" w:rsidRDefault="00611200" w:rsidP="00603A20">
            <w:pPr>
              <w:pStyle w:val="ListParagraph"/>
              <w:numPr>
                <w:ilvl w:val="0"/>
                <w:numId w:val="22"/>
              </w:numPr>
            </w:pPr>
            <w:r>
              <w:t>Specialized methods of apheresis</w:t>
            </w:r>
          </w:p>
          <w:p w:rsidR="00611200" w:rsidRDefault="00611200" w:rsidP="00603A20">
            <w:pPr>
              <w:pStyle w:val="ListParagraph"/>
              <w:numPr>
                <w:ilvl w:val="0"/>
                <w:numId w:val="22"/>
              </w:numPr>
            </w:pPr>
            <w:r>
              <w:t>Hematopoietic progenitor cell selection and manipulation</w:t>
            </w:r>
          </w:p>
          <w:p w:rsidR="009C7324" w:rsidRPr="00B50E10" w:rsidRDefault="009C7324" w:rsidP="00603A20">
            <w:pPr>
              <w:pStyle w:val="ListParagraph"/>
              <w:numPr>
                <w:ilvl w:val="0"/>
                <w:numId w:val="22"/>
              </w:numPr>
            </w:pPr>
            <w:r>
              <w:t>Laboratory inspections (FDA, CAP, FACT, Joint Commission)</w:t>
            </w:r>
          </w:p>
        </w:tc>
      </w:tr>
      <w:tr w:rsidR="00AF0AD9" w:rsidRPr="00B50E10" w:rsidTr="00AF0AD9">
        <w:tc>
          <w:tcPr>
            <w:tcW w:w="4158" w:type="dxa"/>
            <w:shd w:val="clear" w:color="auto" w:fill="DBE5F1" w:themeFill="accent1" w:themeFillTint="33"/>
          </w:tcPr>
          <w:p w:rsidR="00AF0AD9" w:rsidRPr="00B50E10" w:rsidRDefault="00AF0AD9" w:rsidP="00AF0AD9">
            <w:pPr>
              <w:rPr>
                <w:b/>
              </w:rPr>
            </w:pPr>
            <w:r w:rsidRPr="00B50E10">
              <w:rPr>
                <w:b/>
              </w:rPr>
              <w:t>Patient Care</w:t>
            </w:r>
          </w:p>
          <w:p w:rsidR="00AF0AD9" w:rsidRPr="00B50E10" w:rsidRDefault="000C6D5F" w:rsidP="00AF0AD9">
            <w:pPr>
              <w:rPr>
                <w:b/>
              </w:rPr>
            </w:pPr>
            <w:r>
              <w:t xml:space="preserve">Recognizes clinical cases and circumstances that are rare or unique and selects appropriate additional studies; initiates consultant role in </w:t>
            </w:r>
            <w:proofErr w:type="gramStart"/>
            <w:r>
              <w:t>unusual  cases</w:t>
            </w:r>
            <w:proofErr w:type="gramEnd"/>
            <w:r>
              <w:t>;  directs other providers and learners in challenging situations.</w:t>
            </w:r>
          </w:p>
        </w:tc>
        <w:tc>
          <w:tcPr>
            <w:tcW w:w="9450" w:type="dxa"/>
            <w:shd w:val="clear" w:color="auto" w:fill="DBE5F1" w:themeFill="accent1" w:themeFillTint="33"/>
          </w:tcPr>
          <w:p w:rsidR="00AF0AD9" w:rsidRDefault="006D77AA" w:rsidP="00AF0AD9">
            <w:r w:rsidRPr="00B50E10">
              <w:t xml:space="preserve">The </w:t>
            </w:r>
            <w:r w:rsidR="00611200">
              <w:t>resident will:</w:t>
            </w:r>
          </w:p>
          <w:p w:rsidR="00611200" w:rsidRDefault="00611200" w:rsidP="00611200">
            <w:pPr>
              <w:pStyle w:val="ListParagraph"/>
              <w:numPr>
                <w:ilvl w:val="0"/>
                <w:numId w:val="23"/>
              </w:numPr>
            </w:pPr>
            <w:r>
              <w:t xml:space="preserve">Evaluate and participate in the management of hemolytic disease of the newborn and neonatal </w:t>
            </w:r>
            <w:proofErr w:type="spellStart"/>
            <w:r>
              <w:t>alloimmune</w:t>
            </w:r>
            <w:proofErr w:type="spellEnd"/>
            <w:r>
              <w:t xml:space="preserve"> thrombocytopenia</w:t>
            </w:r>
          </w:p>
          <w:p w:rsidR="00611200" w:rsidRDefault="00611200" w:rsidP="00611200">
            <w:pPr>
              <w:pStyle w:val="ListParagraph"/>
              <w:numPr>
                <w:ilvl w:val="0"/>
                <w:numId w:val="23"/>
              </w:numPr>
            </w:pPr>
            <w:r>
              <w:t>Participate in the management of stem cell collection problems</w:t>
            </w:r>
          </w:p>
          <w:p w:rsidR="00611200" w:rsidRDefault="00611200" w:rsidP="00611200">
            <w:pPr>
              <w:pStyle w:val="ListParagraph"/>
              <w:numPr>
                <w:ilvl w:val="0"/>
                <w:numId w:val="23"/>
              </w:numPr>
            </w:pPr>
            <w:r>
              <w:t>Complete adverse event reports to blood supplier</w:t>
            </w:r>
          </w:p>
          <w:p w:rsidR="00611200" w:rsidRDefault="00611200" w:rsidP="00611200">
            <w:pPr>
              <w:pStyle w:val="ListParagraph"/>
              <w:numPr>
                <w:ilvl w:val="0"/>
                <w:numId w:val="23"/>
              </w:numPr>
            </w:pPr>
            <w:r>
              <w:t>Complete reference laboratory referrals for platelet and granulocyte serology and interpret the results</w:t>
            </w:r>
          </w:p>
          <w:p w:rsidR="00A40392" w:rsidRPr="00B50E10" w:rsidRDefault="00611200" w:rsidP="00611200">
            <w:pPr>
              <w:pStyle w:val="ListParagraph"/>
              <w:numPr>
                <w:ilvl w:val="0"/>
                <w:numId w:val="23"/>
              </w:numPr>
            </w:pPr>
            <w:r>
              <w:t>Write orders of apheresis and stem cell collection</w:t>
            </w:r>
          </w:p>
        </w:tc>
      </w:tr>
      <w:tr w:rsidR="00AF0AD9" w:rsidRPr="00B50E10" w:rsidTr="00AF0AD9">
        <w:trPr>
          <w:trHeight w:val="962"/>
        </w:trPr>
        <w:tc>
          <w:tcPr>
            <w:tcW w:w="4158" w:type="dxa"/>
            <w:shd w:val="clear" w:color="auto" w:fill="DBE5F1" w:themeFill="accent1" w:themeFillTint="33"/>
          </w:tcPr>
          <w:p w:rsidR="00AF0AD9" w:rsidRPr="00B50E10" w:rsidRDefault="00AF0AD9" w:rsidP="00AF0AD9">
            <w:pPr>
              <w:rPr>
                <w:b/>
              </w:rPr>
            </w:pPr>
            <w:r w:rsidRPr="00B50E10">
              <w:rPr>
                <w:b/>
              </w:rPr>
              <w:t>Practice-based Learning and Improvement</w:t>
            </w:r>
          </w:p>
          <w:p w:rsidR="00AF0AD9" w:rsidRPr="00B50E10" w:rsidRDefault="000C6D5F" w:rsidP="00734B58">
            <w:pPr>
              <w:rPr>
                <w:b/>
              </w:rPr>
            </w:pPr>
            <w:r>
              <w:t xml:space="preserve">Facilitates collaboration and teamwork to improve patient care and promote learning. </w:t>
            </w:r>
          </w:p>
        </w:tc>
        <w:tc>
          <w:tcPr>
            <w:tcW w:w="9450" w:type="dxa"/>
            <w:shd w:val="clear" w:color="auto" w:fill="DBE5F1" w:themeFill="accent1" w:themeFillTint="33"/>
          </w:tcPr>
          <w:p w:rsidR="00734B58" w:rsidRPr="00B50E10" w:rsidRDefault="00AF0AD9" w:rsidP="00734B58">
            <w:r w:rsidRPr="00B50E10">
              <w:t>The  resident</w:t>
            </w:r>
            <w:r w:rsidR="00611200">
              <w:t xml:space="preserve"> will</w:t>
            </w:r>
            <w:r w:rsidRPr="00B50E10">
              <w:t>:</w:t>
            </w:r>
          </w:p>
          <w:p w:rsidR="00AF0AD9" w:rsidRDefault="00711A08" w:rsidP="00611200">
            <w:pPr>
              <w:pStyle w:val="ListParagraph"/>
              <w:numPr>
                <w:ilvl w:val="0"/>
                <w:numId w:val="24"/>
              </w:numPr>
            </w:pPr>
            <w:r>
              <w:t>Educate clinicians regarding serologic problems and blood component therapy of problematic patients</w:t>
            </w:r>
          </w:p>
          <w:p w:rsidR="00711A08" w:rsidRPr="00B50E10" w:rsidRDefault="00711A08" w:rsidP="00611200">
            <w:pPr>
              <w:pStyle w:val="ListParagraph"/>
              <w:numPr>
                <w:ilvl w:val="0"/>
                <w:numId w:val="24"/>
              </w:numPr>
            </w:pPr>
            <w:r>
              <w:t>Educate the nursing staff regarding medical issues of apheresis patients and stem cell donors</w:t>
            </w:r>
          </w:p>
        </w:tc>
      </w:tr>
      <w:tr w:rsidR="00AF0AD9" w:rsidRPr="00B50E10" w:rsidTr="00AF0AD9">
        <w:tc>
          <w:tcPr>
            <w:tcW w:w="4158" w:type="dxa"/>
            <w:shd w:val="clear" w:color="auto" w:fill="DBE5F1" w:themeFill="accent1" w:themeFillTint="33"/>
          </w:tcPr>
          <w:p w:rsidR="00AF0AD9" w:rsidRPr="00B50E10" w:rsidRDefault="00AF0AD9" w:rsidP="00AF0AD9">
            <w:pPr>
              <w:rPr>
                <w:b/>
              </w:rPr>
            </w:pPr>
            <w:r w:rsidRPr="00B50E10">
              <w:rPr>
                <w:b/>
              </w:rPr>
              <w:t>Interpersonal and Communication Skills</w:t>
            </w:r>
          </w:p>
          <w:p w:rsidR="00AF0AD9" w:rsidRPr="00B50E10" w:rsidRDefault="000C6D5F" w:rsidP="00AF0AD9">
            <w:pPr>
              <w:rPr>
                <w:b/>
              </w:rPr>
            </w:pPr>
            <w:r>
              <w:t>Demonstrates skill in dealing with conflicting opinions or perspectives</w:t>
            </w:r>
            <w:proofErr w:type="gramStart"/>
            <w:r>
              <w:t>;  responds</w:t>
            </w:r>
            <w:proofErr w:type="gramEnd"/>
            <w:r>
              <w:t xml:space="preserve"> independently to questions from other providers, patients, and families; </w:t>
            </w:r>
            <w:r>
              <w:lastRenderedPageBreak/>
              <w:t>generates sophisticated reports that relay information about complex cases.</w:t>
            </w:r>
          </w:p>
        </w:tc>
        <w:tc>
          <w:tcPr>
            <w:tcW w:w="9450" w:type="dxa"/>
            <w:shd w:val="clear" w:color="auto" w:fill="DBE5F1" w:themeFill="accent1" w:themeFillTint="33"/>
          </w:tcPr>
          <w:p w:rsidR="00AF0AD9" w:rsidRDefault="00AF0AD9" w:rsidP="00AF0AD9">
            <w:r w:rsidRPr="00B50E10">
              <w:lastRenderedPageBreak/>
              <w:t>The resident will</w:t>
            </w:r>
            <w:r w:rsidR="00711A08">
              <w:t>:</w:t>
            </w:r>
          </w:p>
          <w:p w:rsidR="00AF0AD9" w:rsidRDefault="00711A08" w:rsidP="00711A08">
            <w:pPr>
              <w:pStyle w:val="ListParagraph"/>
              <w:numPr>
                <w:ilvl w:val="0"/>
                <w:numId w:val="25"/>
              </w:numPr>
            </w:pPr>
            <w:r>
              <w:t>Respond independently to questions from medical staff, nursing staff, technologists and patients</w:t>
            </w:r>
          </w:p>
          <w:p w:rsidR="00711A08" w:rsidRPr="00B50E10" w:rsidRDefault="00711A08" w:rsidP="00711A08">
            <w:pPr>
              <w:pStyle w:val="ListParagraph"/>
              <w:numPr>
                <w:ilvl w:val="0"/>
                <w:numId w:val="25"/>
              </w:numPr>
            </w:pPr>
            <w:r>
              <w:t>Respond in a balanced manner to conflicting opinions or perspectives of the medical staff, nursing staff, technologists, and patients.</w:t>
            </w:r>
          </w:p>
        </w:tc>
      </w:tr>
      <w:tr w:rsidR="00AF0AD9" w:rsidRPr="00B50E10" w:rsidTr="00AF0AD9">
        <w:tc>
          <w:tcPr>
            <w:tcW w:w="4158" w:type="dxa"/>
            <w:shd w:val="clear" w:color="auto" w:fill="DBE5F1" w:themeFill="accent1" w:themeFillTint="33"/>
          </w:tcPr>
          <w:p w:rsidR="00AF0AD9" w:rsidRPr="00B50E10" w:rsidRDefault="00AF0AD9" w:rsidP="00AF0AD9">
            <w:pPr>
              <w:rPr>
                <w:b/>
              </w:rPr>
            </w:pPr>
            <w:r w:rsidRPr="00B50E10">
              <w:rPr>
                <w:b/>
              </w:rPr>
              <w:lastRenderedPageBreak/>
              <w:t>Professionalism</w:t>
            </w:r>
          </w:p>
          <w:p w:rsidR="00AF0AD9" w:rsidRPr="00B50E10" w:rsidRDefault="000C6D5F" w:rsidP="00AF0AD9">
            <w:pPr>
              <w:rPr>
                <w:b/>
              </w:rPr>
            </w:pPr>
            <w:r>
              <w:t>Recognizes impairment in themselves and peers and takes steps to address this.  Mentors others in use of inter-professional and multi-disciplinary collaboration; Is a role model to other learners regarding accountability to self and others.</w:t>
            </w:r>
          </w:p>
        </w:tc>
        <w:tc>
          <w:tcPr>
            <w:tcW w:w="9450" w:type="dxa"/>
            <w:shd w:val="clear" w:color="auto" w:fill="DBE5F1" w:themeFill="accent1" w:themeFillTint="33"/>
          </w:tcPr>
          <w:p w:rsidR="00AF0AD9" w:rsidRPr="00B50E10" w:rsidRDefault="00AF0AD9" w:rsidP="00AF0AD9">
            <w:r w:rsidRPr="00B50E10">
              <w:t>The resident</w:t>
            </w:r>
            <w:r w:rsidR="00711A08">
              <w:t xml:space="preserve"> will</w:t>
            </w:r>
            <w:r w:rsidRPr="00B50E10">
              <w:t>:</w:t>
            </w:r>
          </w:p>
          <w:p w:rsidR="00406A3A" w:rsidRDefault="00256B24" w:rsidP="00711A08">
            <w:pPr>
              <w:pStyle w:val="ListParagraph"/>
              <w:numPr>
                <w:ilvl w:val="0"/>
                <w:numId w:val="26"/>
              </w:numPr>
            </w:pPr>
            <w:r>
              <w:t>Recognize deficiencies in his or her own knowledge or skills and seek appropriate guidance</w:t>
            </w:r>
          </w:p>
          <w:p w:rsidR="00256B24" w:rsidRPr="00B50E10" w:rsidRDefault="00256B24" w:rsidP="00256B24">
            <w:pPr>
              <w:pStyle w:val="ListParagraph"/>
              <w:numPr>
                <w:ilvl w:val="0"/>
                <w:numId w:val="26"/>
              </w:numPr>
            </w:pPr>
            <w:r>
              <w:t>Act as a role model for other residents</w:t>
            </w:r>
          </w:p>
        </w:tc>
      </w:tr>
      <w:tr w:rsidR="00AF0AD9" w:rsidRPr="00B50E10" w:rsidTr="00AF0AD9">
        <w:trPr>
          <w:trHeight w:val="1295"/>
        </w:trPr>
        <w:tc>
          <w:tcPr>
            <w:tcW w:w="4158" w:type="dxa"/>
            <w:shd w:val="clear" w:color="auto" w:fill="DBE5F1" w:themeFill="accent1" w:themeFillTint="33"/>
          </w:tcPr>
          <w:p w:rsidR="00AF0AD9" w:rsidRPr="00B50E10" w:rsidRDefault="00AF0AD9" w:rsidP="00AF0AD9">
            <w:pPr>
              <w:rPr>
                <w:b/>
              </w:rPr>
            </w:pPr>
            <w:r w:rsidRPr="00B50E10">
              <w:rPr>
                <w:b/>
              </w:rPr>
              <w:t>Systems-based Practice</w:t>
            </w:r>
          </w:p>
          <w:p w:rsidR="00AF0AD9" w:rsidRPr="00B50E10" w:rsidRDefault="000C6D5F" w:rsidP="00406A3A">
            <w:pPr>
              <w:rPr>
                <w:b/>
              </w:rPr>
            </w:pPr>
            <w:r>
              <w:t xml:space="preserve">Identifies sources of error and inefficiency and initiates action to assess and fix; acts as a consultant in conducting cost benefit analysis </w:t>
            </w:r>
          </w:p>
        </w:tc>
        <w:tc>
          <w:tcPr>
            <w:tcW w:w="9450" w:type="dxa"/>
            <w:shd w:val="clear" w:color="auto" w:fill="DBE5F1" w:themeFill="accent1" w:themeFillTint="33"/>
          </w:tcPr>
          <w:p w:rsidR="00AF0AD9" w:rsidRPr="00B50E10" w:rsidRDefault="00AF0AD9" w:rsidP="00AF0AD9">
            <w:r w:rsidRPr="00B50E10">
              <w:t>The resident</w:t>
            </w:r>
            <w:r w:rsidR="00256B24">
              <w:t xml:space="preserve"> will</w:t>
            </w:r>
            <w:r w:rsidRPr="00B50E10">
              <w:t>:</w:t>
            </w:r>
          </w:p>
          <w:p w:rsidR="00AF0AD9" w:rsidRDefault="00A62CA9" w:rsidP="00256B24">
            <w:pPr>
              <w:pStyle w:val="ListParagraph"/>
              <w:numPr>
                <w:ilvl w:val="0"/>
                <w:numId w:val="27"/>
              </w:numPr>
            </w:pPr>
            <w:r>
              <w:t>Identify actual or potential problems within the operation of the transfusion service and apheresis service</w:t>
            </w:r>
          </w:p>
          <w:p w:rsidR="00A62CA9" w:rsidRPr="00B50E10" w:rsidRDefault="00A62CA9" w:rsidP="00256B24">
            <w:pPr>
              <w:pStyle w:val="ListParagraph"/>
              <w:numPr>
                <w:ilvl w:val="0"/>
                <w:numId w:val="27"/>
              </w:numPr>
            </w:pPr>
            <w:r>
              <w:t>Participate with the administrative manager, supervisors, nursing coordinator and medical director in assessing and correcting actual or potential problems.</w:t>
            </w:r>
          </w:p>
        </w:tc>
      </w:tr>
    </w:tbl>
    <w:p w:rsidR="00AF0AD9" w:rsidRPr="00B50E10" w:rsidRDefault="00AF0AD9"/>
    <w:p w:rsidR="00AF0AD9" w:rsidRPr="00B50E10" w:rsidRDefault="00AF0AD9"/>
    <w:p w:rsidR="00AF0AD9" w:rsidRPr="00B50E10" w:rsidRDefault="00AF0AD9"/>
    <w:p w:rsidR="001B790E" w:rsidRPr="00B50E10" w:rsidRDefault="001B790E">
      <w:pPr>
        <w:rPr>
          <w:b/>
        </w:rPr>
      </w:pPr>
      <w:r w:rsidRPr="00B50E10">
        <w:rPr>
          <w:b/>
        </w:rPr>
        <w:t>Plan</w:t>
      </w:r>
      <w:r w:rsidR="00AB451A" w:rsidRPr="00B50E10">
        <w:rPr>
          <w:b/>
        </w:rPr>
        <w:t xml:space="preserve"> for Training</w:t>
      </w:r>
    </w:p>
    <w:p w:rsidR="00653FEE" w:rsidRDefault="00A62CA9">
      <w:r>
        <w:t>During the first year, the resident rotates through the Blood Bank and Apheresis Procedures Unit for two months. During the first month, there is also a senior resident on the service. The faculty rotates on a monthly basis, so that each resident is exposed to at least two faculty members. The faculty on service provides direct teaching and supervision. In addition, there are online didactic materials</w:t>
      </w:r>
      <w:r w:rsidR="00B042A0">
        <w:t>. The blood Bank House Officer</w:t>
      </w:r>
      <w:r>
        <w:t xml:space="preserve"> </w:t>
      </w:r>
      <w:r w:rsidR="00B042A0">
        <w:t>M</w:t>
      </w:r>
      <w:r>
        <w:t xml:space="preserve">anual also provides </w:t>
      </w:r>
      <w:r w:rsidR="00D34607">
        <w:t>reference materials, delineation of responsibilities, and additional educational materials.</w:t>
      </w:r>
    </w:p>
    <w:p w:rsidR="00D34607" w:rsidRDefault="00D34607">
      <w:r>
        <w:t xml:space="preserve">During the first month, the resident is oriented to the service and receives training in </w:t>
      </w:r>
      <w:r w:rsidR="00A54629">
        <w:t>policies and procedures, basic blood components, blood typing, basic antibody identification, blood component therapy, transfusion reaction evaluation, basic homeostasis and  thrombosis testing, apheresis patient evaluation, stem cell donor evaluation, platelet refractoriness evaluation, and basic regulatory compliance. During this month, the senior resident participates in training and acts as a mentor. The resident participates in morning report daily, transfusion service signout twice weekly, special coagulation signout twice weekly, and reference laboratory review weekly.</w:t>
      </w:r>
      <w:r w:rsidR="009C7324">
        <w:t xml:space="preserve"> The resident writes apheresis procedure notes </w:t>
      </w:r>
      <w:r w:rsidR="009C7324">
        <w:lastRenderedPageBreak/>
        <w:t>daily, which are reviewed and signed by the faculty. The number of apheresis patients seen by the resident daily is initially one or two, and is increase as the resident demonstrates proficiency.</w:t>
      </w:r>
    </w:p>
    <w:p w:rsidR="00A54629" w:rsidRPr="00B50E10" w:rsidRDefault="00A54629">
      <w:r>
        <w:t>During the second month, the resident assume</w:t>
      </w:r>
      <w:r w:rsidR="00945148">
        <w:t>s</w:t>
      </w:r>
      <w:r>
        <w:t xml:space="preserve"> greater responsibility for </w:t>
      </w:r>
      <w:r w:rsidR="009C7324">
        <w:t xml:space="preserve">apheresis patient evaluation and management, transfusion reaction evaluations, platelet refractoriness evaluations, and transfusion service problem resolution. The first year resident will function independently of the senior resident (if present). More advance topics in transfusion medicine, immunohematology, and coagulation are covered in didactic and review sessions. </w:t>
      </w:r>
      <w:r w:rsidR="00F81E33">
        <w:t xml:space="preserve"> On call responsibility does not occur until the resident has completed two months of training.</w:t>
      </w:r>
    </w:p>
    <w:p w:rsidR="001B790E" w:rsidRPr="00B50E10" w:rsidRDefault="00945148">
      <w:r>
        <w:t xml:space="preserve">During the final rotations (typically in the third year), the resident </w:t>
      </w:r>
      <w:r w:rsidR="009300A3">
        <w:t>serves as a mentor and role model for the first year resident.  In addition to participating in signout and didactic activities, as review and reinforcement, the resident is exposed to more advance topics in transfusion medicine, serol</w:t>
      </w:r>
      <w:r w:rsidR="0070154D">
        <w:t>ogy, and laboratory management</w:t>
      </w:r>
      <w:r w:rsidR="009300A3">
        <w:t>, with the goal of becoming independent a transfusion service medical director.</w:t>
      </w:r>
    </w:p>
    <w:p w:rsidR="001B790E" w:rsidRPr="00B50E10" w:rsidRDefault="001B790E">
      <w:pPr>
        <w:rPr>
          <w:b/>
        </w:rPr>
      </w:pPr>
      <w:r w:rsidRPr="00B50E10">
        <w:rPr>
          <w:b/>
        </w:rPr>
        <w:t>Supervision</w:t>
      </w:r>
    </w:p>
    <w:p w:rsidR="00AB451A" w:rsidRDefault="00AB451A" w:rsidP="0070154D">
      <w:r w:rsidRPr="00B50E10">
        <w:t xml:space="preserve">The following activities are to be conducted with </w:t>
      </w:r>
      <w:r w:rsidRPr="00B50E10">
        <w:rPr>
          <w:b/>
        </w:rPr>
        <w:t>Direct Supervision</w:t>
      </w:r>
      <w:r w:rsidRPr="00B50E10">
        <w:t xml:space="preserve"> (the supervising physician is physically present with the resident):</w:t>
      </w:r>
    </w:p>
    <w:p w:rsidR="0070154D" w:rsidRDefault="0070154D" w:rsidP="0070154D">
      <w:pPr>
        <w:pStyle w:val="ListParagraph"/>
        <w:numPr>
          <w:ilvl w:val="0"/>
          <w:numId w:val="28"/>
        </w:numPr>
      </w:pPr>
      <w:r>
        <w:t>Morning report</w:t>
      </w:r>
    </w:p>
    <w:p w:rsidR="00F81E33" w:rsidRDefault="00F81E33" w:rsidP="0070154D">
      <w:pPr>
        <w:pStyle w:val="ListParagraph"/>
        <w:numPr>
          <w:ilvl w:val="0"/>
          <w:numId w:val="28"/>
        </w:numPr>
      </w:pPr>
      <w:r>
        <w:t>Transfusion reaction signout</w:t>
      </w:r>
    </w:p>
    <w:p w:rsidR="00F81E33" w:rsidRDefault="00F81E33" w:rsidP="0070154D">
      <w:pPr>
        <w:pStyle w:val="ListParagraph"/>
        <w:numPr>
          <w:ilvl w:val="0"/>
          <w:numId w:val="28"/>
        </w:numPr>
      </w:pPr>
      <w:r>
        <w:t>Special coagulation testing signout</w:t>
      </w:r>
    </w:p>
    <w:p w:rsidR="0070154D" w:rsidRDefault="0070154D" w:rsidP="0070154D">
      <w:pPr>
        <w:pStyle w:val="ListParagraph"/>
        <w:numPr>
          <w:ilvl w:val="0"/>
          <w:numId w:val="28"/>
        </w:numPr>
      </w:pPr>
      <w:r>
        <w:t>Evaluation and physical examination of apheresis patients (during the first month)</w:t>
      </w:r>
    </w:p>
    <w:p w:rsidR="0070154D" w:rsidRDefault="00F81E33" w:rsidP="0070154D">
      <w:pPr>
        <w:pStyle w:val="ListParagraph"/>
        <w:numPr>
          <w:ilvl w:val="0"/>
          <w:numId w:val="28"/>
        </w:numPr>
      </w:pPr>
      <w:r>
        <w:t>Transfusion reaction evaluation (during the first month)</w:t>
      </w:r>
    </w:p>
    <w:p w:rsidR="00F81E33" w:rsidRDefault="00F81E33" w:rsidP="0070154D">
      <w:pPr>
        <w:pStyle w:val="ListParagraph"/>
        <w:numPr>
          <w:ilvl w:val="0"/>
          <w:numId w:val="28"/>
        </w:numPr>
      </w:pPr>
      <w:r>
        <w:t>Transfusion service problem resolution (during the first month)</w:t>
      </w:r>
    </w:p>
    <w:p w:rsidR="00F81E33" w:rsidRPr="00B50E10" w:rsidRDefault="00F81E33" w:rsidP="0070154D">
      <w:pPr>
        <w:pStyle w:val="ListParagraph"/>
        <w:numPr>
          <w:ilvl w:val="0"/>
          <w:numId w:val="28"/>
        </w:numPr>
      </w:pPr>
      <w:r>
        <w:t>Communication with clinicians (during the first month)</w:t>
      </w:r>
    </w:p>
    <w:p w:rsidR="00F7647F" w:rsidRDefault="00F7647F" w:rsidP="00F7647F">
      <w:r w:rsidRPr="00B50E10">
        <w:t xml:space="preserve">The following activities may be conducted with </w:t>
      </w:r>
      <w:r w:rsidRPr="00B50E10">
        <w:rPr>
          <w:b/>
        </w:rPr>
        <w:t>Indirect Supervision</w:t>
      </w:r>
      <w:r w:rsidRPr="00B50E10">
        <w:t xml:space="preserve"> (direct supervision immediately available either within the hospital of by telephonic or electronic communication):</w:t>
      </w:r>
    </w:p>
    <w:p w:rsidR="00F81E33" w:rsidRDefault="00F81E33" w:rsidP="00F81E33">
      <w:pPr>
        <w:pStyle w:val="ListParagraph"/>
        <w:numPr>
          <w:ilvl w:val="0"/>
          <w:numId w:val="28"/>
        </w:numPr>
      </w:pPr>
      <w:r>
        <w:t>Evaluation and physical examination of apheresis patients (during the second and third months)</w:t>
      </w:r>
    </w:p>
    <w:p w:rsidR="00F81E33" w:rsidRDefault="00F81E33" w:rsidP="00F81E33">
      <w:pPr>
        <w:pStyle w:val="ListParagraph"/>
        <w:numPr>
          <w:ilvl w:val="0"/>
          <w:numId w:val="28"/>
        </w:numPr>
      </w:pPr>
      <w:r>
        <w:t>Transfusion reaction evaluation (during the second and third months)</w:t>
      </w:r>
    </w:p>
    <w:p w:rsidR="00F81E33" w:rsidRDefault="00F81E33" w:rsidP="00F81E33">
      <w:pPr>
        <w:pStyle w:val="ListParagraph"/>
        <w:numPr>
          <w:ilvl w:val="0"/>
          <w:numId w:val="28"/>
        </w:numPr>
      </w:pPr>
      <w:r>
        <w:t>Transfusion service problem resolution (during the second and third months)</w:t>
      </w:r>
    </w:p>
    <w:p w:rsidR="00F81E33" w:rsidRPr="00B50E10" w:rsidRDefault="00F81E33" w:rsidP="00F81E33">
      <w:pPr>
        <w:pStyle w:val="ListParagraph"/>
        <w:numPr>
          <w:ilvl w:val="0"/>
          <w:numId w:val="28"/>
        </w:numPr>
      </w:pPr>
      <w:r>
        <w:t>Communication with clinicians (during the second and third months)</w:t>
      </w:r>
    </w:p>
    <w:p w:rsidR="00F7647F" w:rsidRDefault="00F7647F" w:rsidP="00F7647F">
      <w:r w:rsidRPr="00B50E10">
        <w:lastRenderedPageBreak/>
        <w:t xml:space="preserve">The following activities may be conducted with </w:t>
      </w:r>
      <w:r w:rsidRPr="00B50E10">
        <w:rPr>
          <w:b/>
        </w:rPr>
        <w:t>Oversight</w:t>
      </w:r>
      <w:r w:rsidRPr="00B50E10">
        <w:t xml:space="preserve"> (</w:t>
      </w:r>
      <w:r w:rsidR="009416A9" w:rsidRPr="00B50E10">
        <w:t>the supervising physician is available to review with feedback after activity is completed):</w:t>
      </w:r>
    </w:p>
    <w:p w:rsidR="00F81E33" w:rsidRDefault="00F81E33" w:rsidP="00F81E33">
      <w:pPr>
        <w:pStyle w:val="ListParagraph"/>
        <w:numPr>
          <w:ilvl w:val="0"/>
          <w:numId w:val="30"/>
        </w:numPr>
      </w:pPr>
      <w:r>
        <w:t>Initial transfusion reaction investigation and management while on call</w:t>
      </w:r>
    </w:p>
    <w:p w:rsidR="00F81E33" w:rsidRDefault="00F81E33" w:rsidP="00F81E33">
      <w:pPr>
        <w:pStyle w:val="ListParagraph"/>
        <w:numPr>
          <w:ilvl w:val="0"/>
          <w:numId w:val="30"/>
        </w:numPr>
      </w:pPr>
      <w:r>
        <w:t>Urgent apheresis requests while on call</w:t>
      </w:r>
    </w:p>
    <w:p w:rsidR="00F81E33" w:rsidRPr="00B50E10" w:rsidRDefault="00F81E33" w:rsidP="00F81E33">
      <w:pPr>
        <w:pStyle w:val="ListParagraph"/>
        <w:numPr>
          <w:ilvl w:val="0"/>
          <w:numId w:val="30"/>
        </w:numPr>
      </w:pPr>
      <w:r>
        <w:t>Transfusion patient management issues while on call</w:t>
      </w:r>
    </w:p>
    <w:p w:rsidR="001B790E" w:rsidRPr="00B50E10" w:rsidRDefault="001B790E">
      <w:r w:rsidRPr="00B50E10">
        <w:t>Evaluation</w:t>
      </w:r>
    </w:p>
    <w:p w:rsidR="009416A9" w:rsidRPr="00B50E10" w:rsidRDefault="009416A9" w:rsidP="009416A9">
      <w:pPr>
        <w:pStyle w:val="ListParagraph"/>
        <w:numPr>
          <w:ilvl w:val="0"/>
          <w:numId w:val="11"/>
        </w:numPr>
      </w:pPr>
      <w:r w:rsidRPr="00B50E10">
        <w:t>Electronic (</w:t>
      </w:r>
      <w:proofErr w:type="spellStart"/>
      <w:r w:rsidRPr="00B50E10">
        <w:t>MedHub</w:t>
      </w:r>
      <w:proofErr w:type="spellEnd"/>
      <w:r w:rsidRPr="00B50E10">
        <w:t>) evaluation completed by faculty at the conclusion of each rotation</w:t>
      </w:r>
    </w:p>
    <w:p w:rsidR="009416A9" w:rsidRPr="00B50E10" w:rsidRDefault="009416A9" w:rsidP="009416A9">
      <w:pPr>
        <w:pStyle w:val="ListParagraph"/>
        <w:numPr>
          <w:ilvl w:val="0"/>
          <w:numId w:val="11"/>
        </w:numPr>
      </w:pPr>
      <w:r w:rsidRPr="00B50E10">
        <w:t>360 evaluation completed by fellows and technical staff semi-annually</w:t>
      </w:r>
    </w:p>
    <w:p w:rsidR="009416A9" w:rsidRPr="00B50E10" w:rsidRDefault="009416A9" w:rsidP="009416A9">
      <w:pPr>
        <w:pStyle w:val="ListParagraph"/>
        <w:numPr>
          <w:ilvl w:val="0"/>
          <w:numId w:val="11"/>
        </w:numPr>
      </w:pPr>
      <w:r w:rsidRPr="00B50E10">
        <w:t>Resident Inservice Examination (annually)</w:t>
      </w:r>
    </w:p>
    <w:sectPr w:rsidR="009416A9" w:rsidRPr="00B50E10" w:rsidSect="006074A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A11" w:rsidRDefault="00B12A11" w:rsidP="00B12A11">
      <w:pPr>
        <w:spacing w:after="0" w:line="240" w:lineRule="auto"/>
      </w:pPr>
      <w:r>
        <w:separator/>
      </w:r>
    </w:p>
  </w:endnote>
  <w:endnote w:type="continuationSeparator" w:id="0">
    <w:p w:rsidR="00B12A11" w:rsidRDefault="00B12A11" w:rsidP="00B1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A11" w:rsidRDefault="00B12A11">
    <w:pPr>
      <w:pStyle w:val="Footer"/>
    </w:pPr>
    <w:r>
      <w:t>6/16/2015</w:t>
    </w:r>
  </w:p>
  <w:p w:rsidR="00B12A11" w:rsidRDefault="00B12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A11" w:rsidRDefault="00B12A11" w:rsidP="00B12A11">
      <w:pPr>
        <w:spacing w:after="0" w:line="240" w:lineRule="auto"/>
      </w:pPr>
      <w:r>
        <w:separator/>
      </w:r>
    </w:p>
  </w:footnote>
  <w:footnote w:type="continuationSeparator" w:id="0">
    <w:p w:rsidR="00B12A11" w:rsidRDefault="00B12A11" w:rsidP="00B12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2BF"/>
    <w:multiLevelType w:val="hybridMultilevel"/>
    <w:tmpl w:val="754EC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B4ECB"/>
    <w:multiLevelType w:val="hybridMultilevel"/>
    <w:tmpl w:val="0294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94FDE"/>
    <w:multiLevelType w:val="hybridMultilevel"/>
    <w:tmpl w:val="5D4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B3E00"/>
    <w:multiLevelType w:val="hybridMultilevel"/>
    <w:tmpl w:val="9ACC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0268A"/>
    <w:multiLevelType w:val="hybridMultilevel"/>
    <w:tmpl w:val="F7202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373754"/>
    <w:multiLevelType w:val="hybridMultilevel"/>
    <w:tmpl w:val="9DF6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E4DA7"/>
    <w:multiLevelType w:val="multilevel"/>
    <w:tmpl w:val="951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4153B"/>
    <w:multiLevelType w:val="hybridMultilevel"/>
    <w:tmpl w:val="54A4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41FE2"/>
    <w:multiLevelType w:val="hybridMultilevel"/>
    <w:tmpl w:val="C93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C01B96"/>
    <w:multiLevelType w:val="hybridMultilevel"/>
    <w:tmpl w:val="EA64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56675"/>
    <w:multiLevelType w:val="hybridMultilevel"/>
    <w:tmpl w:val="CECE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A5296"/>
    <w:multiLevelType w:val="hybridMultilevel"/>
    <w:tmpl w:val="3CE6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701F0"/>
    <w:multiLevelType w:val="hybridMultilevel"/>
    <w:tmpl w:val="F3C4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D27C5"/>
    <w:multiLevelType w:val="hybridMultilevel"/>
    <w:tmpl w:val="C65A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C44214"/>
    <w:multiLevelType w:val="hybridMultilevel"/>
    <w:tmpl w:val="926C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177BD"/>
    <w:multiLevelType w:val="hybridMultilevel"/>
    <w:tmpl w:val="AEA6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F6250B"/>
    <w:multiLevelType w:val="hybridMultilevel"/>
    <w:tmpl w:val="C94298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2A5EA0"/>
    <w:multiLevelType w:val="hybridMultilevel"/>
    <w:tmpl w:val="BF1E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6753E"/>
    <w:multiLevelType w:val="hybridMultilevel"/>
    <w:tmpl w:val="1542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747BF"/>
    <w:multiLevelType w:val="hybridMultilevel"/>
    <w:tmpl w:val="46CE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97A27"/>
    <w:multiLevelType w:val="hybridMultilevel"/>
    <w:tmpl w:val="E92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DA7D64"/>
    <w:multiLevelType w:val="hybridMultilevel"/>
    <w:tmpl w:val="6FA8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CC3086"/>
    <w:multiLevelType w:val="hybridMultilevel"/>
    <w:tmpl w:val="E192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15EE6"/>
    <w:multiLevelType w:val="hybridMultilevel"/>
    <w:tmpl w:val="1586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A173A1"/>
    <w:multiLevelType w:val="hybridMultilevel"/>
    <w:tmpl w:val="86D0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1D25CA"/>
    <w:multiLevelType w:val="hybridMultilevel"/>
    <w:tmpl w:val="FD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71232"/>
    <w:multiLevelType w:val="hybridMultilevel"/>
    <w:tmpl w:val="535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5E4CEF"/>
    <w:multiLevelType w:val="hybridMultilevel"/>
    <w:tmpl w:val="6CFA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4D00F2"/>
    <w:multiLevelType w:val="hybridMultilevel"/>
    <w:tmpl w:val="E268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D5FD8"/>
    <w:multiLevelType w:val="hybridMultilevel"/>
    <w:tmpl w:val="4468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1"/>
  </w:num>
  <w:num w:numId="4">
    <w:abstractNumId w:val="21"/>
  </w:num>
  <w:num w:numId="5">
    <w:abstractNumId w:val="8"/>
  </w:num>
  <w:num w:numId="6">
    <w:abstractNumId w:val="7"/>
  </w:num>
  <w:num w:numId="7">
    <w:abstractNumId w:val="6"/>
  </w:num>
  <w:num w:numId="8">
    <w:abstractNumId w:val="19"/>
  </w:num>
  <w:num w:numId="9">
    <w:abstractNumId w:val="16"/>
  </w:num>
  <w:num w:numId="10">
    <w:abstractNumId w:val="0"/>
  </w:num>
  <w:num w:numId="11">
    <w:abstractNumId w:val="4"/>
  </w:num>
  <w:num w:numId="12">
    <w:abstractNumId w:val="28"/>
  </w:num>
  <w:num w:numId="13">
    <w:abstractNumId w:val="17"/>
  </w:num>
  <w:num w:numId="14">
    <w:abstractNumId w:val="1"/>
  </w:num>
  <w:num w:numId="15">
    <w:abstractNumId w:val="27"/>
  </w:num>
  <w:num w:numId="16">
    <w:abstractNumId w:val="22"/>
  </w:num>
  <w:num w:numId="17">
    <w:abstractNumId w:val="24"/>
  </w:num>
  <w:num w:numId="18">
    <w:abstractNumId w:val="29"/>
  </w:num>
  <w:num w:numId="19">
    <w:abstractNumId w:val="3"/>
  </w:num>
  <w:num w:numId="20">
    <w:abstractNumId w:val="10"/>
  </w:num>
  <w:num w:numId="21">
    <w:abstractNumId w:val="23"/>
  </w:num>
  <w:num w:numId="22">
    <w:abstractNumId w:val="5"/>
  </w:num>
  <w:num w:numId="23">
    <w:abstractNumId w:val="13"/>
  </w:num>
  <w:num w:numId="24">
    <w:abstractNumId w:val="9"/>
  </w:num>
  <w:num w:numId="25">
    <w:abstractNumId w:val="18"/>
  </w:num>
  <w:num w:numId="26">
    <w:abstractNumId w:val="15"/>
  </w:num>
  <w:num w:numId="27">
    <w:abstractNumId w:val="26"/>
  </w:num>
  <w:num w:numId="28">
    <w:abstractNumId w:val="20"/>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4A7"/>
    <w:rsid w:val="00010727"/>
    <w:rsid w:val="00060F5B"/>
    <w:rsid w:val="000857CC"/>
    <w:rsid w:val="000C351A"/>
    <w:rsid w:val="000C6D5F"/>
    <w:rsid w:val="000E2509"/>
    <w:rsid w:val="00165403"/>
    <w:rsid w:val="00194828"/>
    <w:rsid w:val="001B790E"/>
    <w:rsid w:val="001F43C4"/>
    <w:rsid w:val="00234B6E"/>
    <w:rsid w:val="00256B24"/>
    <w:rsid w:val="0026357B"/>
    <w:rsid w:val="002958AA"/>
    <w:rsid w:val="002B2FDA"/>
    <w:rsid w:val="002C7C92"/>
    <w:rsid w:val="003E5339"/>
    <w:rsid w:val="003F48F7"/>
    <w:rsid w:val="003F5021"/>
    <w:rsid w:val="00406A3A"/>
    <w:rsid w:val="004149D8"/>
    <w:rsid w:val="004501D9"/>
    <w:rsid w:val="0045234A"/>
    <w:rsid w:val="00470978"/>
    <w:rsid w:val="00477F60"/>
    <w:rsid w:val="004A60B4"/>
    <w:rsid w:val="004E2DB5"/>
    <w:rsid w:val="00501B53"/>
    <w:rsid w:val="005201FF"/>
    <w:rsid w:val="0056544E"/>
    <w:rsid w:val="005B1898"/>
    <w:rsid w:val="005B55C2"/>
    <w:rsid w:val="00603A20"/>
    <w:rsid w:val="006074A7"/>
    <w:rsid w:val="00611200"/>
    <w:rsid w:val="00653FEE"/>
    <w:rsid w:val="00682586"/>
    <w:rsid w:val="006A106E"/>
    <w:rsid w:val="006D77AA"/>
    <w:rsid w:val="006F34C0"/>
    <w:rsid w:val="0070154D"/>
    <w:rsid w:val="00711A08"/>
    <w:rsid w:val="007345D3"/>
    <w:rsid w:val="00734B58"/>
    <w:rsid w:val="0073664F"/>
    <w:rsid w:val="007514B9"/>
    <w:rsid w:val="007B4EC6"/>
    <w:rsid w:val="008D680F"/>
    <w:rsid w:val="008F364F"/>
    <w:rsid w:val="009049F2"/>
    <w:rsid w:val="00915512"/>
    <w:rsid w:val="009300A3"/>
    <w:rsid w:val="009416A9"/>
    <w:rsid w:val="00945148"/>
    <w:rsid w:val="00972E97"/>
    <w:rsid w:val="00992BC9"/>
    <w:rsid w:val="009949D6"/>
    <w:rsid w:val="009B5D39"/>
    <w:rsid w:val="009C4001"/>
    <w:rsid w:val="009C4CE9"/>
    <w:rsid w:val="009C7324"/>
    <w:rsid w:val="009F60A3"/>
    <w:rsid w:val="00A0194B"/>
    <w:rsid w:val="00A15DB7"/>
    <w:rsid w:val="00A320D6"/>
    <w:rsid w:val="00A40392"/>
    <w:rsid w:val="00A54629"/>
    <w:rsid w:val="00A62CA9"/>
    <w:rsid w:val="00AB451A"/>
    <w:rsid w:val="00AD306D"/>
    <w:rsid w:val="00AF0AD9"/>
    <w:rsid w:val="00B042A0"/>
    <w:rsid w:val="00B12A11"/>
    <w:rsid w:val="00B50E10"/>
    <w:rsid w:val="00B5780E"/>
    <w:rsid w:val="00B942C3"/>
    <w:rsid w:val="00BD775C"/>
    <w:rsid w:val="00BF15D7"/>
    <w:rsid w:val="00BF78D0"/>
    <w:rsid w:val="00C01940"/>
    <w:rsid w:val="00C1440A"/>
    <w:rsid w:val="00C507B5"/>
    <w:rsid w:val="00C75936"/>
    <w:rsid w:val="00C9223B"/>
    <w:rsid w:val="00CB3A83"/>
    <w:rsid w:val="00CD2A7F"/>
    <w:rsid w:val="00CD493A"/>
    <w:rsid w:val="00CF3CB4"/>
    <w:rsid w:val="00D10346"/>
    <w:rsid w:val="00D34607"/>
    <w:rsid w:val="00D80405"/>
    <w:rsid w:val="00DD2E26"/>
    <w:rsid w:val="00E71082"/>
    <w:rsid w:val="00EA2886"/>
    <w:rsid w:val="00F7647F"/>
    <w:rsid w:val="00F81E33"/>
    <w:rsid w:val="00F9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90E"/>
    <w:pPr>
      <w:ind w:left="720"/>
      <w:contextualSpacing/>
    </w:pPr>
  </w:style>
  <w:style w:type="paragraph" w:styleId="BalloonText">
    <w:name w:val="Balloon Text"/>
    <w:basedOn w:val="Normal"/>
    <w:link w:val="BalloonTextChar"/>
    <w:uiPriority w:val="99"/>
    <w:semiHidden/>
    <w:unhideWhenUsed/>
    <w:rsid w:val="0056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4E"/>
    <w:rPr>
      <w:rFonts w:ascii="Tahoma" w:hAnsi="Tahoma" w:cs="Tahoma"/>
      <w:sz w:val="16"/>
      <w:szCs w:val="16"/>
    </w:rPr>
  </w:style>
  <w:style w:type="paragraph" w:styleId="Header">
    <w:name w:val="header"/>
    <w:basedOn w:val="Normal"/>
    <w:link w:val="HeaderChar"/>
    <w:uiPriority w:val="99"/>
    <w:unhideWhenUsed/>
    <w:rsid w:val="00B1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A11"/>
  </w:style>
  <w:style w:type="paragraph" w:styleId="Footer">
    <w:name w:val="footer"/>
    <w:basedOn w:val="Normal"/>
    <w:link w:val="FooterChar"/>
    <w:uiPriority w:val="99"/>
    <w:unhideWhenUsed/>
    <w:rsid w:val="00B1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90E"/>
    <w:pPr>
      <w:ind w:left="720"/>
      <w:contextualSpacing/>
    </w:pPr>
  </w:style>
  <w:style w:type="paragraph" w:styleId="BalloonText">
    <w:name w:val="Balloon Text"/>
    <w:basedOn w:val="Normal"/>
    <w:link w:val="BalloonTextChar"/>
    <w:uiPriority w:val="99"/>
    <w:semiHidden/>
    <w:unhideWhenUsed/>
    <w:rsid w:val="0056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4E"/>
    <w:rPr>
      <w:rFonts w:ascii="Tahoma" w:hAnsi="Tahoma" w:cs="Tahoma"/>
      <w:sz w:val="16"/>
      <w:szCs w:val="16"/>
    </w:rPr>
  </w:style>
  <w:style w:type="paragraph" w:styleId="Header">
    <w:name w:val="header"/>
    <w:basedOn w:val="Normal"/>
    <w:link w:val="HeaderChar"/>
    <w:uiPriority w:val="99"/>
    <w:unhideWhenUsed/>
    <w:rsid w:val="00B1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A11"/>
  </w:style>
  <w:style w:type="paragraph" w:styleId="Footer">
    <w:name w:val="footer"/>
    <w:basedOn w:val="Normal"/>
    <w:link w:val="FooterChar"/>
    <w:uiPriority w:val="99"/>
    <w:unhideWhenUsed/>
    <w:rsid w:val="00B1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1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15460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barbmcke</dc:creator>
  <cp:lastModifiedBy>Baessler, Desire</cp:lastModifiedBy>
  <cp:revision>3</cp:revision>
  <cp:lastPrinted>2011-04-06T15:01:00Z</cp:lastPrinted>
  <dcterms:created xsi:type="dcterms:W3CDTF">2015-06-16T13:10:00Z</dcterms:created>
  <dcterms:modified xsi:type="dcterms:W3CDTF">2015-06-16T18:35:00Z</dcterms:modified>
</cp:coreProperties>
</file>