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Default="001677D3">
      <w:pPr>
        <w:rPr>
          <w:b/>
        </w:rPr>
      </w:pPr>
      <w:bookmarkStart w:id="0" w:name="_GoBack"/>
      <w:bookmarkEnd w:id="0"/>
      <w:r>
        <w:rPr>
          <w:b/>
        </w:rPr>
        <w:t>Molecular Pathology</w:t>
      </w:r>
      <w:r w:rsidR="006074A7" w:rsidRPr="00B50E10">
        <w:rPr>
          <w:b/>
        </w:rPr>
        <w:t xml:space="preserve"> Rotation</w:t>
      </w:r>
      <w:r w:rsidR="00E71082" w:rsidRPr="00B50E10">
        <w:rPr>
          <w:b/>
        </w:rPr>
        <w:t>s</w:t>
      </w:r>
      <w:r w:rsidR="006074A7" w:rsidRPr="00B50E10">
        <w:rPr>
          <w:b/>
        </w:rPr>
        <w:t xml:space="preserve"> Goals and Objectives</w:t>
      </w:r>
    </w:p>
    <w:p w:rsidR="00B57E19" w:rsidRPr="00B50E10" w:rsidRDefault="005A1A2C">
      <w:pPr>
        <w:rPr>
          <w:b/>
        </w:rPr>
      </w:pPr>
      <w:r>
        <w:rPr>
          <w:b/>
        </w:rPr>
        <w:t>Rotation Director</w:t>
      </w:r>
      <w:r w:rsidR="00B57E19">
        <w:rPr>
          <w:b/>
        </w:rPr>
        <w:t>s</w:t>
      </w:r>
      <w:r>
        <w:rPr>
          <w:b/>
        </w:rPr>
        <w:t xml:space="preserve">:  </w:t>
      </w:r>
      <w:r w:rsidR="008861EA">
        <w:rPr>
          <w:b/>
        </w:rPr>
        <w:t>Noah Brown, M.D.</w:t>
      </w:r>
    </w:p>
    <w:p w:rsidR="001B790E" w:rsidRPr="00B50E10" w:rsidRDefault="00E71082">
      <w:r w:rsidRPr="00B50E10">
        <w:t xml:space="preserve">The goal of the </w:t>
      </w:r>
      <w:proofErr w:type="gramStart"/>
      <w:r w:rsidRPr="00B50E10">
        <w:rPr>
          <w:b/>
          <w:u w:val="single"/>
        </w:rPr>
        <w:t>F</w:t>
      </w:r>
      <w:r w:rsidR="006074A7" w:rsidRPr="00B50E10">
        <w:rPr>
          <w:b/>
          <w:u w:val="single"/>
        </w:rPr>
        <w:t xml:space="preserve">irst </w:t>
      </w:r>
      <w:r w:rsidR="0062453D">
        <w:rPr>
          <w:b/>
          <w:u w:val="single"/>
        </w:rPr>
        <w:t xml:space="preserve"> </w:t>
      </w:r>
      <w:r w:rsidR="00B57E19">
        <w:rPr>
          <w:b/>
          <w:u w:val="single"/>
        </w:rPr>
        <w:t>Molecular</w:t>
      </w:r>
      <w:proofErr w:type="gramEnd"/>
      <w:r w:rsidR="00B57E19">
        <w:rPr>
          <w:b/>
          <w:u w:val="single"/>
        </w:rPr>
        <w:t xml:space="preserve"> Pathology</w:t>
      </w:r>
      <w:r w:rsidR="0062453D">
        <w:rPr>
          <w:b/>
          <w:u w:val="single"/>
        </w:rPr>
        <w:t xml:space="preserve"> </w:t>
      </w:r>
      <w:r w:rsidRPr="00B50E10">
        <w:rPr>
          <w:b/>
          <w:u w:val="single"/>
        </w:rPr>
        <w:t>R</w:t>
      </w:r>
      <w:r w:rsidR="006074A7" w:rsidRPr="00B50E10">
        <w:rPr>
          <w:b/>
          <w:u w:val="single"/>
        </w:rPr>
        <w:t>otation</w:t>
      </w:r>
      <w:r w:rsidR="006074A7" w:rsidRPr="00B50E10">
        <w:t xml:space="preserve"> is for the resident to move from being a </w:t>
      </w:r>
    </w:p>
    <w:p w:rsidR="00E71082" w:rsidRPr="00B50E10" w:rsidRDefault="006074A7" w:rsidP="00E71082">
      <w:proofErr w:type="gramStart"/>
      <w:r w:rsidRPr="00B50E10">
        <w:rPr>
          <w:b/>
        </w:rPr>
        <w:t>Novice</w:t>
      </w:r>
      <w:r w:rsidR="00E71082" w:rsidRPr="00B50E10">
        <w:rPr>
          <w:b/>
        </w:rPr>
        <w:t xml:space="preserve"> </w:t>
      </w:r>
      <w:r w:rsidR="00E71082" w:rsidRPr="00836203">
        <w:t xml:space="preserve"> (</w:t>
      </w:r>
      <w:proofErr w:type="gramEnd"/>
      <w:r w:rsidR="00E71082" w:rsidRPr="00B50E10">
        <w:t>A novice knows little about the subject, and rigidly adheres to rules with little situational perception.  He/she does not feel responsible for outcomes. )</w:t>
      </w:r>
    </w:p>
    <w:p w:rsidR="00E71082" w:rsidRPr="00B50E10" w:rsidRDefault="00E71082" w:rsidP="00E71082">
      <w:r w:rsidRPr="00B50E10">
        <w:t>To</w:t>
      </w:r>
    </w:p>
    <w:p w:rsidR="00DD2E26" w:rsidRPr="00B50E10" w:rsidRDefault="006074A7" w:rsidP="00E71082">
      <w:r w:rsidRPr="00B50E10">
        <w:rPr>
          <w:b/>
        </w:rPr>
        <w:t>Advance</w:t>
      </w:r>
      <w:r w:rsidR="001B790E" w:rsidRPr="00B50E10">
        <w:rPr>
          <w:b/>
        </w:rPr>
        <w:t>d</w:t>
      </w:r>
      <w:r w:rsidRPr="00B50E10">
        <w:rPr>
          <w:b/>
        </w:rPr>
        <w:t xml:space="preserve">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EAF1DD" w:themeFill="accent3" w:themeFillTint="33"/>
          </w:tcPr>
          <w:p w:rsidR="00C507B5" w:rsidRPr="00B50E10" w:rsidRDefault="00C507B5">
            <w:pPr>
              <w:rPr>
                <w:b/>
              </w:rPr>
            </w:pPr>
            <w:r w:rsidRPr="00B50E10">
              <w:rPr>
                <w:b/>
              </w:rPr>
              <w:t>First Rotation Goals</w:t>
            </w:r>
          </w:p>
        </w:tc>
        <w:tc>
          <w:tcPr>
            <w:tcW w:w="9450" w:type="dxa"/>
            <w:shd w:val="clear" w:color="auto" w:fill="EAF1DD" w:themeFill="accent3" w:themeFillTint="33"/>
          </w:tcPr>
          <w:p w:rsidR="00C507B5" w:rsidRPr="00B50E10" w:rsidRDefault="004501D9">
            <w:pPr>
              <w:rPr>
                <w:b/>
              </w:rPr>
            </w:pPr>
            <w:r>
              <w:rPr>
                <w:b/>
              </w:rPr>
              <w:t xml:space="preserve">First </w:t>
            </w:r>
            <w:r w:rsidR="00C507B5" w:rsidRPr="00B50E10">
              <w:rPr>
                <w:b/>
              </w:rPr>
              <w:t>Rotation Objectives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Medical Knowledge</w:t>
            </w:r>
          </w:p>
          <w:p w:rsidR="00C507B5" w:rsidRPr="00B50E10" w:rsidRDefault="000C6D5F">
            <w:r>
              <w:t>Acquires knowledge of pathophysiology and laboratory manifestations of routinely-encountered conditions; knows where to access information to fill gaps in knowledge.</w:t>
            </w:r>
          </w:p>
        </w:tc>
        <w:tc>
          <w:tcPr>
            <w:tcW w:w="9450" w:type="dxa"/>
            <w:shd w:val="clear" w:color="auto" w:fill="EAF1DD" w:themeFill="accent3" w:themeFillTint="33"/>
          </w:tcPr>
          <w:p w:rsidR="00E71082" w:rsidRDefault="00DB4E37" w:rsidP="00E71082">
            <w:r>
              <w:t>The resident will gain an broad overview of:</w:t>
            </w:r>
          </w:p>
          <w:p w:rsidR="00DB4E37" w:rsidRDefault="00DB4E37" w:rsidP="00DB4E37">
            <w:pPr>
              <w:pStyle w:val="ListParagraph"/>
              <w:numPr>
                <w:ilvl w:val="0"/>
                <w:numId w:val="19"/>
              </w:numPr>
            </w:pPr>
            <w:r>
              <w:t>The human genome, its organization, nucleic acid structure and function, and gen organization and expression</w:t>
            </w:r>
          </w:p>
          <w:p w:rsidR="00DB4E37" w:rsidRDefault="00DB4E37" w:rsidP="00DB4E37">
            <w:pPr>
              <w:pStyle w:val="ListParagraph"/>
              <w:numPr>
                <w:ilvl w:val="0"/>
                <w:numId w:val="19"/>
              </w:numPr>
            </w:pPr>
            <w:r>
              <w:t>Mutations and genetic variation</w:t>
            </w:r>
          </w:p>
          <w:p w:rsidR="00DB4E37" w:rsidRDefault="00DB4E37" w:rsidP="00DB4E37">
            <w:pPr>
              <w:pStyle w:val="ListParagraph"/>
              <w:numPr>
                <w:ilvl w:val="0"/>
                <w:numId w:val="19"/>
              </w:numPr>
            </w:pPr>
            <w:r>
              <w:t>Genetics of inherited diseases</w:t>
            </w:r>
          </w:p>
          <w:p w:rsidR="00DB4E37" w:rsidRDefault="00DB4E37" w:rsidP="00DB4E37">
            <w:pPr>
              <w:pStyle w:val="ListParagraph"/>
              <w:numPr>
                <w:ilvl w:val="0"/>
                <w:numId w:val="19"/>
              </w:numPr>
            </w:pPr>
            <w:r>
              <w:t>Genetics of cancer</w:t>
            </w:r>
          </w:p>
          <w:p w:rsidR="00DB4E37" w:rsidRDefault="00DB4E37" w:rsidP="00DB4E37">
            <w:pPr>
              <w:pStyle w:val="ListParagraph"/>
              <w:numPr>
                <w:ilvl w:val="0"/>
                <w:numId w:val="19"/>
              </w:numPr>
            </w:pPr>
            <w:r>
              <w:t>Molecular diagnostic technologies, including</w:t>
            </w:r>
          </w:p>
          <w:p w:rsidR="00DB4E37" w:rsidRDefault="00DB4E37" w:rsidP="00DB4E37">
            <w:pPr>
              <w:pStyle w:val="ListParagraph"/>
              <w:numPr>
                <w:ilvl w:val="1"/>
                <w:numId w:val="19"/>
              </w:numPr>
            </w:pPr>
            <w:r>
              <w:t>Nucleic acid isolation and quantification</w:t>
            </w:r>
          </w:p>
          <w:p w:rsidR="00DB4E37" w:rsidRDefault="00DB4E37" w:rsidP="00DB4E37">
            <w:pPr>
              <w:pStyle w:val="ListParagraph"/>
              <w:numPr>
                <w:ilvl w:val="1"/>
                <w:numId w:val="19"/>
              </w:numPr>
            </w:pPr>
            <w:r>
              <w:t>Enzymatic digestion</w:t>
            </w:r>
          </w:p>
          <w:p w:rsidR="00DB4E37" w:rsidRDefault="00DB4E37" w:rsidP="00DB4E37">
            <w:pPr>
              <w:pStyle w:val="ListParagraph"/>
              <w:numPr>
                <w:ilvl w:val="1"/>
                <w:numId w:val="19"/>
              </w:numPr>
            </w:pPr>
            <w:r>
              <w:t>Polymerase chain reaction (PCR), including allele-specific PCR and real-time PCR</w:t>
            </w:r>
          </w:p>
          <w:p w:rsidR="00DB4E37" w:rsidRDefault="00DB4E37" w:rsidP="00DB4E37">
            <w:pPr>
              <w:pStyle w:val="ListParagraph"/>
              <w:numPr>
                <w:ilvl w:val="1"/>
                <w:numId w:val="19"/>
              </w:numPr>
            </w:pPr>
            <w:r>
              <w:t>DNA sequencing</w:t>
            </w:r>
          </w:p>
          <w:p w:rsidR="00DB4E37" w:rsidRDefault="00DB4E37" w:rsidP="00DB4E37">
            <w:pPr>
              <w:pStyle w:val="ListParagraph"/>
              <w:numPr>
                <w:ilvl w:val="1"/>
                <w:numId w:val="19"/>
              </w:numPr>
            </w:pPr>
            <w:r>
              <w:t>Invader</w:t>
            </w:r>
          </w:p>
          <w:p w:rsidR="00DB4E37" w:rsidRDefault="00DB4E37" w:rsidP="00DB4E37">
            <w:pPr>
              <w:pStyle w:val="ListParagraph"/>
              <w:numPr>
                <w:ilvl w:val="1"/>
                <w:numId w:val="19"/>
              </w:numPr>
            </w:pPr>
            <w:r>
              <w:t>Fluorescence in-situ hybridization (FISH)</w:t>
            </w:r>
          </w:p>
          <w:p w:rsidR="00DB4E37" w:rsidRDefault="00DB4E37" w:rsidP="00DB4E37">
            <w:pPr>
              <w:pStyle w:val="ListParagraph"/>
              <w:numPr>
                <w:ilvl w:val="1"/>
                <w:numId w:val="19"/>
              </w:numPr>
            </w:pPr>
            <w:r>
              <w:t>Specimen requirements, collection, and handling</w:t>
            </w:r>
          </w:p>
          <w:p w:rsidR="00EF7214" w:rsidRPr="00B50E10" w:rsidRDefault="00EF7214" w:rsidP="00DB4E37"/>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Patient Care</w:t>
            </w:r>
          </w:p>
          <w:p w:rsidR="00C507B5" w:rsidRPr="00B50E10" w:rsidRDefault="00C507B5">
            <w:r w:rsidRPr="00B50E10">
              <w:t xml:space="preserve">Is able to perform procedures necessary to generate laboratory information, gather clinical information needed to establish a </w:t>
            </w:r>
            <w:r w:rsidRPr="00B50E10">
              <w:lastRenderedPageBreak/>
              <w:t>diagnosis, and make observations relevant to the clinical situation.</w:t>
            </w:r>
          </w:p>
        </w:tc>
        <w:tc>
          <w:tcPr>
            <w:tcW w:w="9450" w:type="dxa"/>
            <w:shd w:val="clear" w:color="auto" w:fill="EAF1DD" w:themeFill="accent3" w:themeFillTint="33"/>
          </w:tcPr>
          <w:p w:rsidR="00DB4E37" w:rsidRDefault="00C507B5" w:rsidP="00DB4E37">
            <w:r w:rsidRPr="00B50E10">
              <w:lastRenderedPageBreak/>
              <w:t>With appropriate supervision</w:t>
            </w:r>
            <w:r w:rsidR="00596B86">
              <w:t xml:space="preserve"> (see below), the resident will:</w:t>
            </w:r>
          </w:p>
          <w:p w:rsidR="00DB4E37" w:rsidRPr="00DB4E37" w:rsidRDefault="00DB4E37" w:rsidP="00DB4E37">
            <w:pPr>
              <w:pStyle w:val="ListParagraph"/>
              <w:numPr>
                <w:ilvl w:val="0"/>
                <w:numId w:val="21"/>
              </w:numPr>
            </w:pPr>
            <w:r w:rsidRPr="00DB4E37">
              <w:rPr>
                <w:sz w:val="24"/>
                <w:szCs w:val="24"/>
              </w:rPr>
              <w:t>participate in molecular case sign-</w:t>
            </w:r>
            <w:r>
              <w:rPr>
                <w:sz w:val="24"/>
                <w:szCs w:val="24"/>
              </w:rPr>
              <w:t>outs as assigned by the faculty</w:t>
            </w:r>
            <w:r w:rsidR="000E489F">
              <w:rPr>
                <w:sz w:val="24"/>
                <w:szCs w:val="24"/>
              </w:rPr>
              <w:t>, previewing cases before signout to arrive at his/her own diagnosis</w:t>
            </w:r>
          </w:p>
          <w:p w:rsidR="00DB4E37" w:rsidRPr="000E489F" w:rsidRDefault="00DB4E37" w:rsidP="00DB4E37">
            <w:pPr>
              <w:pStyle w:val="ListParagraph"/>
              <w:numPr>
                <w:ilvl w:val="0"/>
                <w:numId w:val="21"/>
              </w:numPr>
            </w:pPr>
            <w:proofErr w:type="gramStart"/>
            <w:r w:rsidRPr="00DB4E37">
              <w:rPr>
                <w:sz w:val="24"/>
                <w:szCs w:val="24"/>
              </w:rPr>
              <w:t>assist</w:t>
            </w:r>
            <w:proofErr w:type="gramEnd"/>
            <w:r w:rsidRPr="00DB4E37">
              <w:rPr>
                <w:sz w:val="24"/>
                <w:szCs w:val="24"/>
              </w:rPr>
              <w:t xml:space="preserve"> in daily H&amp;E review of specimens submitted for AP-molecular testing.</w:t>
            </w:r>
          </w:p>
          <w:p w:rsidR="003E5339" w:rsidRPr="00B50E10" w:rsidRDefault="003E5339" w:rsidP="00DB4E37"/>
        </w:tc>
      </w:tr>
      <w:tr w:rsidR="00C507B5" w:rsidRPr="00B50E10" w:rsidTr="00C507B5">
        <w:trPr>
          <w:trHeight w:val="962"/>
        </w:trPr>
        <w:tc>
          <w:tcPr>
            <w:tcW w:w="4158" w:type="dxa"/>
            <w:shd w:val="clear" w:color="auto" w:fill="EAF1DD" w:themeFill="accent3" w:themeFillTint="33"/>
          </w:tcPr>
          <w:p w:rsidR="00C507B5" w:rsidRPr="00B50E10" w:rsidRDefault="00C507B5">
            <w:pPr>
              <w:rPr>
                <w:b/>
              </w:rPr>
            </w:pPr>
            <w:r w:rsidRPr="00B50E10">
              <w:rPr>
                <w:b/>
              </w:rPr>
              <w:lastRenderedPageBreak/>
              <w:t>Practice-based Learning and Improvement</w:t>
            </w:r>
          </w:p>
          <w:p w:rsidR="00C507B5" w:rsidRPr="00B50E10" w:rsidRDefault="00C507B5">
            <w:r w:rsidRPr="00B50E10">
              <w:t>Uses feedback and evaluations to generate or modify learning plan and improve skills.</w:t>
            </w:r>
          </w:p>
        </w:tc>
        <w:tc>
          <w:tcPr>
            <w:tcW w:w="9450" w:type="dxa"/>
            <w:shd w:val="clear" w:color="auto" w:fill="EAF1DD" w:themeFill="accent3" w:themeFillTint="33"/>
          </w:tcPr>
          <w:p w:rsidR="00C507B5" w:rsidRDefault="00C507B5">
            <w:r w:rsidRPr="00B50E10">
              <w:t>The  resident</w:t>
            </w:r>
            <w:r w:rsidR="008C6A4A">
              <w:t xml:space="preserve"> will</w:t>
            </w:r>
            <w:r w:rsidRPr="00B50E10">
              <w:t>:</w:t>
            </w:r>
          </w:p>
          <w:p w:rsidR="000E489F" w:rsidRPr="000E489F" w:rsidRDefault="000E489F" w:rsidP="000E489F">
            <w:pPr>
              <w:pStyle w:val="ListParagraph"/>
              <w:numPr>
                <w:ilvl w:val="0"/>
                <w:numId w:val="12"/>
              </w:numPr>
            </w:pPr>
            <w:r w:rsidRPr="00D911A4">
              <w:rPr>
                <w:sz w:val="24"/>
                <w:szCs w:val="24"/>
              </w:rPr>
              <w:t>conduct a journal club wherein the resident performs critical review of a publishe</w:t>
            </w:r>
            <w:r>
              <w:rPr>
                <w:sz w:val="24"/>
                <w:szCs w:val="24"/>
              </w:rPr>
              <w:t>d paper in Molecular Pathology</w:t>
            </w:r>
          </w:p>
          <w:p w:rsidR="00D86449" w:rsidRPr="00B50E10" w:rsidRDefault="000E489F" w:rsidP="000E489F">
            <w:pPr>
              <w:pStyle w:val="ListParagraph"/>
              <w:numPr>
                <w:ilvl w:val="0"/>
                <w:numId w:val="12"/>
              </w:numPr>
            </w:pPr>
            <w:r w:rsidRPr="000E489F">
              <w:rPr>
                <w:sz w:val="24"/>
                <w:szCs w:val="24"/>
              </w:rPr>
              <w:t>complete all reading and problem assignments</w:t>
            </w:r>
          </w:p>
          <w:p w:rsidR="00C507B5" w:rsidRPr="00B50E10" w:rsidRDefault="00C507B5" w:rsidP="004501D9">
            <w:pPr>
              <w:pStyle w:val="ListParagraph"/>
            </w:pP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Interpersonal and Communication Skills</w:t>
            </w:r>
          </w:p>
          <w:p w:rsidR="00C507B5" w:rsidRPr="00B50E10" w:rsidRDefault="00C507B5">
            <w:r w:rsidRPr="00B50E10">
              <w:t>Establishes collegial interactive and communication skills in dealing with others; structures reports that are clear, succinct, and follow templates; listens to and fulfills requests from other providers.</w:t>
            </w:r>
          </w:p>
        </w:tc>
        <w:tc>
          <w:tcPr>
            <w:tcW w:w="9450" w:type="dxa"/>
            <w:shd w:val="clear" w:color="auto" w:fill="EAF1DD" w:themeFill="accent3" w:themeFillTint="33"/>
          </w:tcPr>
          <w:p w:rsidR="00CF57E4" w:rsidRDefault="00C507B5" w:rsidP="00CF57E4">
            <w:r w:rsidRPr="00B50E10">
              <w:t>The resident wi</w:t>
            </w:r>
            <w:r w:rsidR="005A1A2C">
              <w:t>ll</w:t>
            </w:r>
            <w:r w:rsidR="00CF57E4">
              <w:t>:</w:t>
            </w:r>
          </w:p>
          <w:p w:rsidR="00CF57E4" w:rsidRDefault="005A1A2C" w:rsidP="00CF57E4">
            <w:pPr>
              <w:pStyle w:val="ListParagraph"/>
              <w:numPr>
                <w:ilvl w:val="0"/>
                <w:numId w:val="12"/>
              </w:numPr>
            </w:pPr>
            <w:r>
              <w:t>Listen to and communicate</w:t>
            </w:r>
            <w:r w:rsidR="00CF57E4">
              <w:t xml:space="preserve"> clearly with all members of the laboratory</w:t>
            </w:r>
            <w:r w:rsidR="00706E0E">
              <w:t>.</w:t>
            </w:r>
          </w:p>
          <w:p w:rsidR="00CF57E4" w:rsidRDefault="00CF57E4" w:rsidP="00CF57E4">
            <w:pPr>
              <w:pStyle w:val="ListParagraph"/>
              <w:numPr>
                <w:ilvl w:val="0"/>
                <w:numId w:val="12"/>
              </w:numPr>
            </w:pPr>
            <w:r>
              <w:t>Communicate results as requested to clinicians, with approval of the attending pathologist</w:t>
            </w:r>
            <w:r w:rsidR="00706E0E">
              <w:t>.</w:t>
            </w:r>
          </w:p>
          <w:p w:rsidR="000E489F" w:rsidRPr="000E489F" w:rsidRDefault="000E489F" w:rsidP="000E489F">
            <w:pPr>
              <w:pStyle w:val="ListParagraph"/>
              <w:numPr>
                <w:ilvl w:val="0"/>
                <w:numId w:val="12"/>
              </w:numPr>
            </w:pPr>
            <w:r>
              <w:rPr>
                <w:sz w:val="24"/>
                <w:szCs w:val="24"/>
              </w:rPr>
              <w:t>Prepare a</w:t>
            </w:r>
            <w:r w:rsidRPr="00D911A4">
              <w:rPr>
                <w:sz w:val="24"/>
                <w:szCs w:val="24"/>
              </w:rPr>
              <w:t xml:space="preserve"> research topic (literature review) </w:t>
            </w:r>
            <w:r>
              <w:rPr>
                <w:sz w:val="24"/>
                <w:szCs w:val="24"/>
              </w:rPr>
              <w:t>and present this</w:t>
            </w:r>
            <w:r w:rsidRPr="00D911A4">
              <w:rPr>
                <w:sz w:val="24"/>
                <w:szCs w:val="24"/>
              </w:rPr>
              <w:t xml:space="preserve"> as a formal seminar at the end of the rotation.   The resident will focus on a single area of clinical molecular testing and critically examine the impact on diagnosis and disease management.</w:t>
            </w:r>
          </w:p>
          <w:p w:rsidR="00C507B5" w:rsidRPr="00B50E10" w:rsidRDefault="00C507B5" w:rsidP="000E489F">
            <w:pPr>
              <w:ind w:left="360"/>
            </w:pP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Professionalism</w:t>
            </w:r>
          </w:p>
          <w:p w:rsidR="00C507B5" w:rsidRPr="00B50E10" w:rsidRDefault="000C6D5F">
            <w:r>
              <w:t>Is honest, compassionate, and respectful of others; complies with laws and regulations pertaining to medical practice; fulfills patient care and educational responsibilities faithfully. Understands professional responsibility to appear for duty rested and fit to provide service.</w:t>
            </w:r>
          </w:p>
        </w:tc>
        <w:tc>
          <w:tcPr>
            <w:tcW w:w="9450" w:type="dxa"/>
            <w:shd w:val="clear" w:color="auto" w:fill="EAF1DD" w:themeFill="accent3" w:themeFillTint="33"/>
          </w:tcPr>
          <w:p w:rsidR="00C507B5" w:rsidRDefault="00706E0E" w:rsidP="006F34C0">
            <w:r>
              <w:t>The resident will demonstrate professionalism at all times by:</w:t>
            </w:r>
          </w:p>
          <w:p w:rsidR="00706E0E" w:rsidRDefault="00706E0E" w:rsidP="00706E0E">
            <w:pPr>
              <w:pStyle w:val="ListParagraph"/>
              <w:numPr>
                <w:ilvl w:val="0"/>
                <w:numId w:val="12"/>
              </w:numPr>
            </w:pPr>
            <w:r>
              <w:t>Being on time for all sign-outs</w:t>
            </w:r>
            <w:r w:rsidR="000E489F">
              <w:t xml:space="preserve">, journal club presentations, lectures and </w:t>
            </w:r>
            <w:r w:rsidR="005D7DF6">
              <w:t>conferences.</w:t>
            </w:r>
          </w:p>
          <w:p w:rsidR="005D7DF6" w:rsidRDefault="005D7DF6" w:rsidP="00706E0E">
            <w:pPr>
              <w:pStyle w:val="ListParagraph"/>
              <w:numPr>
                <w:ilvl w:val="0"/>
                <w:numId w:val="12"/>
              </w:numPr>
            </w:pPr>
            <w:r>
              <w:t>Demonstrate respect for all members of the laboratory.</w:t>
            </w:r>
          </w:p>
          <w:p w:rsidR="005D7DF6" w:rsidRPr="00B50E10" w:rsidRDefault="005D7DF6" w:rsidP="00706E0E">
            <w:pPr>
              <w:pStyle w:val="ListParagraph"/>
              <w:numPr>
                <w:ilvl w:val="0"/>
                <w:numId w:val="12"/>
              </w:numPr>
            </w:pPr>
            <w:r>
              <w:t>Respond in a prompt manner for any issues related to patient care and clinical requests.</w:t>
            </w:r>
          </w:p>
          <w:p w:rsidR="00C507B5" w:rsidRPr="00B50E10" w:rsidRDefault="00C507B5" w:rsidP="004501D9">
            <w:pPr>
              <w:pStyle w:val="ListParagraph"/>
            </w:pP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Systems-based Practice</w:t>
            </w:r>
          </w:p>
          <w:p w:rsidR="00C507B5" w:rsidRPr="00B50E10" w:rsidRDefault="000C6D5F">
            <w:r>
              <w:t>Identifies issues related to error, cost, and the need for interdisciplinary collaboration in the delivery of health care.  Conducts handoff at the conclusion of rotation with care and thoroughness.</w:t>
            </w:r>
          </w:p>
        </w:tc>
        <w:tc>
          <w:tcPr>
            <w:tcW w:w="9450" w:type="dxa"/>
            <w:shd w:val="clear" w:color="auto" w:fill="EAF1DD" w:themeFill="accent3" w:themeFillTint="33"/>
          </w:tcPr>
          <w:p w:rsidR="00EF23AD" w:rsidRDefault="00C507B5">
            <w:r w:rsidRPr="00B50E10">
              <w:t>The resident</w:t>
            </w:r>
            <w:r w:rsidR="00EF23AD">
              <w:t xml:space="preserve"> </w:t>
            </w:r>
            <w:r w:rsidR="00F57D4A">
              <w:t xml:space="preserve">will </w:t>
            </w:r>
            <w:r w:rsidR="00EF23AD">
              <w:t>develop a systems-based practice</w:t>
            </w:r>
            <w:r w:rsidR="005A1A2C">
              <w:t xml:space="preserve"> approach </w:t>
            </w:r>
            <w:r w:rsidR="000E489F">
              <w:t xml:space="preserve">to molecular pathology </w:t>
            </w:r>
            <w:r w:rsidR="005A1A2C">
              <w:t>practice</w:t>
            </w:r>
            <w:r w:rsidR="00EF23AD">
              <w:t xml:space="preserve"> by:</w:t>
            </w:r>
          </w:p>
          <w:p w:rsidR="00EF23AD" w:rsidRDefault="00EF23AD" w:rsidP="00EF23AD">
            <w:pPr>
              <w:pStyle w:val="ListParagraph"/>
              <w:numPr>
                <w:ilvl w:val="0"/>
                <w:numId w:val="12"/>
              </w:numPr>
            </w:pPr>
            <w:r>
              <w:t>Interacting with members of other laboratories to discuss test results that will impact a patient</w:t>
            </w:r>
            <w:r w:rsidR="000E489F">
              <w:t xml:space="preserve">’s </w:t>
            </w:r>
            <w:r w:rsidR="00580E09">
              <w:t>diagn</w:t>
            </w:r>
            <w:r>
              <w:t>osis</w:t>
            </w:r>
            <w:r w:rsidR="00F57D4A">
              <w:t xml:space="preserve"> as necessary</w:t>
            </w:r>
            <w:r>
              <w:t>.</w:t>
            </w:r>
          </w:p>
          <w:p w:rsidR="00EF23AD" w:rsidRPr="00B50E10" w:rsidRDefault="00EF23AD" w:rsidP="00EF23AD">
            <w:pPr>
              <w:pStyle w:val="ListParagraph"/>
              <w:numPr>
                <w:ilvl w:val="0"/>
                <w:numId w:val="12"/>
              </w:numPr>
            </w:pPr>
            <w:r>
              <w:t xml:space="preserve">Beginning to understand how </w:t>
            </w:r>
            <w:r w:rsidR="000E489F">
              <w:t xml:space="preserve">molecular pathology </w:t>
            </w:r>
            <w:r>
              <w:t>assays can be best utilized in a cost-efficient manner that most directly impacts patient care.</w:t>
            </w:r>
          </w:p>
          <w:p w:rsidR="00C507B5" w:rsidRPr="00B50E10" w:rsidRDefault="00C507B5" w:rsidP="004501D9">
            <w:pPr>
              <w:pStyle w:val="ListParagraph"/>
            </w:pPr>
          </w:p>
        </w:tc>
      </w:tr>
    </w:tbl>
    <w:p w:rsidR="006074A7" w:rsidRPr="00B50E10" w:rsidRDefault="006074A7"/>
    <w:p w:rsidR="00C507B5" w:rsidRPr="00B50E10" w:rsidRDefault="00E71082" w:rsidP="00C507B5">
      <w:r w:rsidRPr="00B50E10">
        <w:t xml:space="preserve">The goal of the </w:t>
      </w:r>
      <w:r w:rsidRPr="00B50E10">
        <w:rPr>
          <w:b/>
        </w:rPr>
        <w:t>Second and T</w:t>
      </w:r>
      <w:r w:rsidR="00C507B5" w:rsidRPr="00B50E10">
        <w:rPr>
          <w:b/>
        </w:rPr>
        <w:t xml:space="preserve">hird </w:t>
      </w:r>
      <w:r w:rsidR="00B57E19">
        <w:rPr>
          <w:b/>
        </w:rPr>
        <w:t>Molecular Pathology</w:t>
      </w:r>
      <w:r w:rsidRPr="00B50E10">
        <w:rPr>
          <w:b/>
        </w:rPr>
        <w:t xml:space="preserve"> R</w:t>
      </w:r>
      <w:r w:rsidR="00C507B5" w:rsidRPr="00B50E10">
        <w:rPr>
          <w:b/>
        </w:rPr>
        <w:t>otation</w:t>
      </w:r>
      <w:r w:rsidR="0062453D">
        <w:rPr>
          <w:b/>
        </w:rPr>
        <w:t>s</w:t>
      </w:r>
      <w:r w:rsidR="0062453D">
        <w:t xml:space="preserve"> is</w:t>
      </w:r>
      <w:r w:rsidR="00C507B5" w:rsidRPr="00B50E10">
        <w:t xml:space="preserve"> for the resident to move from being an </w:t>
      </w:r>
    </w:p>
    <w:p w:rsidR="00C507B5" w:rsidRPr="00B50E10" w:rsidRDefault="00C507B5" w:rsidP="00C507B5">
      <w:r w:rsidRPr="00B50E10">
        <w:rPr>
          <w:b/>
        </w:rPr>
        <w:t>Advanced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p w:rsidR="00C507B5" w:rsidRPr="00B50E10" w:rsidRDefault="00C507B5" w:rsidP="00C507B5">
      <w:r w:rsidRPr="00B50E10">
        <w:lastRenderedPageBreak/>
        <w:t>To</w:t>
      </w:r>
    </w:p>
    <w:p w:rsidR="00C507B5" w:rsidRPr="00B50E10" w:rsidRDefault="0062453D">
      <w:r>
        <w:rPr>
          <w:b/>
        </w:rPr>
        <w:t>Proficient</w:t>
      </w:r>
      <w:r w:rsidR="00E71082" w:rsidRPr="00B50E10">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Second and Third Rotation Goals</w:t>
            </w:r>
          </w:p>
        </w:tc>
        <w:tc>
          <w:tcPr>
            <w:tcW w:w="9450" w:type="dxa"/>
            <w:shd w:val="clear" w:color="auto" w:fill="FDE9D9" w:themeFill="accent6" w:themeFillTint="33"/>
          </w:tcPr>
          <w:p w:rsidR="00C507B5" w:rsidRPr="00B50E10" w:rsidRDefault="004501D9" w:rsidP="00C507B5">
            <w:pPr>
              <w:rPr>
                <w:b/>
              </w:rPr>
            </w:pPr>
            <w:r>
              <w:rPr>
                <w:b/>
              </w:rPr>
              <w:t>Second and Third</w:t>
            </w:r>
            <w:r w:rsidR="00C507B5" w:rsidRPr="00B50E10">
              <w:rPr>
                <w:b/>
              </w:rPr>
              <w:t xml:space="preserve"> Rotation Objectives</w:t>
            </w:r>
          </w:p>
        </w:tc>
      </w:tr>
      <w:tr w:rsidR="00C507B5" w:rsidRPr="00B50E10" w:rsidTr="00C507B5">
        <w:tc>
          <w:tcPr>
            <w:tcW w:w="4158" w:type="dxa"/>
            <w:shd w:val="clear" w:color="auto" w:fill="FDE9D9" w:themeFill="accent6" w:themeFillTint="33"/>
          </w:tcPr>
          <w:p w:rsidR="00E71082" w:rsidRPr="00B50E10" w:rsidRDefault="00E71082" w:rsidP="00C507B5">
            <w:pPr>
              <w:rPr>
                <w:b/>
              </w:rPr>
            </w:pPr>
            <w:r w:rsidRPr="00B50E10">
              <w:rPr>
                <w:b/>
              </w:rPr>
              <w:t>Medical Knowledge</w:t>
            </w:r>
          </w:p>
          <w:p w:rsidR="00C507B5" w:rsidRPr="00B50E10" w:rsidRDefault="000C6D5F" w:rsidP="00C507B5">
            <w:pPr>
              <w:rPr>
                <w:b/>
              </w:rPr>
            </w:pPr>
            <w:r>
              <w:t>Acquires knowledge of less commonly-encountered conditions and laboratory techniques; critically evaluates knowledge sources and uses evidence-based approach to acquire new knowledge.</w:t>
            </w:r>
          </w:p>
        </w:tc>
        <w:tc>
          <w:tcPr>
            <w:tcW w:w="9450" w:type="dxa"/>
            <w:shd w:val="clear" w:color="auto" w:fill="FDE9D9" w:themeFill="accent6" w:themeFillTint="33"/>
          </w:tcPr>
          <w:p w:rsidR="002958AA" w:rsidRDefault="005A1A2C" w:rsidP="004501D9">
            <w:r>
              <w:t>The resident will</w:t>
            </w:r>
            <w:r w:rsidR="000E489F">
              <w:t xml:space="preserve"> develop further understanding of molecular pathology techniques and applications:</w:t>
            </w:r>
          </w:p>
          <w:p w:rsidR="0091709D" w:rsidRDefault="0091709D" w:rsidP="000E489F"/>
          <w:p w:rsidR="00B57E19" w:rsidRPr="00B57E19" w:rsidRDefault="00B57E19" w:rsidP="00B57E19">
            <w:pPr>
              <w:numPr>
                <w:ilvl w:val="0"/>
                <w:numId w:val="23"/>
              </w:numPr>
              <w:contextualSpacing/>
              <w:rPr>
                <w:rFonts w:eastAsiaTheme="minorHAnsi"/>
              </w:rPr>
            </w:pPr>
            <w:r w:rsidRPr="00B57E19">
              <w:rPr>
                <w:rFonts w:eastAsiaTheme="minorHAnsi"/>
              </w:rPr>
              <w:t>Molecular Oncology Testing – Solid Tumor</w:t>
            </w:r>
          </w:p>
          <w:p w:rsidR="00B57E19" w:rsidRPr="00B57E19" w:rsidRDefault="00B57E19" w:rsidP="00B57E19">
            <w:pPr>
              <w:numPr>
                <w:ilvl w:val="1"/>
                <w:numId w:val="23"/>
              </w:numPr>
              <w:ind w:left="1800"/>
              <w:contextualSpacing/>
              <w:rPr>
                <w:rFonts w:eastAsiaTheme="minorHAnsi"/>
              </w:rPr>
            </w:pPr>
            <w:r w:rsidRPr="00B57E19">
              <w:rPr>
                <w:rFonts w:eastAsiaTheme="minorHAnsi"/>
              </w:rPr>
              <w:t>KRAS mutation</w:t>
            </w:r>
          </w:p>
          <w:p w:rsidR="00B57E19" w:rsidRPr="00B57E19" w:rsidRDefault="00B57E19" w:rsidP="00B57E19">
            <w:pPr>
              <w:numPr>
                <w:ilvl w:val="1"/>
                <w:numId w:val="23"/>
              </w:numPr>
              <w:ind w:left="1800"/>
              <w:contextualSpacing/>
              <w:rPr>
                <w:rFonts w:eastAsiaTheme="minorHAnsi"/>
              </w:rPr>
            </w:pPr>
            <w:r w:rsidRPr="00B57E19">
              <w:rPr>
                <w:rFonts w:eastAsiaTheme="minorHAnsi"/>
              </w:rPr>
              <w:t>BRAF  mutation</w:t>
            </w:r>
          </w:p>
          <w:p w:rsidR="00B57E19" w:rsidRPr="00B57E19" w:rsidRDefault="00B57E19" w:rsidP="00B57E19">
            <w:pPr>
              <w:numPr>
                <w:ilvl w:val="1"/>
                <w:numId w:val="23"/>
              </w:numPr>
              <w:ind w:left="1800"/>
              <w:contextualSpacing/>
              <w:rPr>
                <w:rFonts w:eastAsiaTheme="minorHAnsi"/>
              </w:rPr>
            </w:pPr>
            <w:r w:rsidRPr="00B57E19">
              <w:rPr>
                <w:rFonts w:eastAsiaTheme="minorHAnsi"/>
              </w:rPr>
              <w:t>EGFR mutation</w:t>
            </w:r>
          </w:p>
          <w:p w:rsidR="00B57E19" w:rsidRPr="00B57E19" w:rsidRDefault="00B57E19" w:rsidP="00B57E19">
            <w:pPr>
              <w:numPr>
                <w:ilvl w:val="1"/>
                <w:numId w:val="23"/>
              </w:numPr>
              <w:ind w:left="1800"/>
              <w:contextualSpacing/>
              <w:rPr>
                <w:rFonts w:eastAsiaTheme="minorHAnsi"/>
              </w:rPr>
            </w:pPr>
            <w:r w:rsidRPr="00B57E19">
              <w:rPr>
                <w:rFonts w:eastAsiaTheme="minorHAnsi"/>
              </w:rPr>
              <w:t>ALK (2p23) rearrangement by FISH</w:t>
            </w:r>
          </w:p>
          <w:p w:rsidR="00B57E19" w:rsidRPr="00B57E19" w:rsidRDefault="00B57E19" w:rsidP="00B57E19">
            <w:pPr>
              <w:numPr>
                <w:ilvl w:val="1"/>
                <w:numId w:val="23"/>
              </w:numPr>
              <w:ind w:left="1800"/>
              <w:contextualSpacing/>
              <w:rPr>
                <w:rFonts w:eastAsiaTheme="minorHAnsi"/>
              </w:rPr>
            </w:pPr>
            <w:r w:rsidRPr="00B57E19">
              <w:rPr>
                <w:rFonts w:eastAsiaTheme="minorHAnsi"/>
              </w:rPr>
              <w:t>Microsatellite instability</w:t>
            </w:r>
          </w:p>
          <w:p w:rsidR="00B57E19" w:rsidRPr="00B57E19" w:rsidRDefault="00B57E19" w:rsidP="00B57E19">
            <w:pPr>
              <w:numPr>
                <w:ilvl w:val="1"/>
                <w:numId w:val="23"/>
              </w:numPr>
              <w:ind w:left="1800"/>
              <w:contextualSpacing/>
              <w:rPr>
                <w:rFonts w:eastAsiaTheme="minorHAnsi"/>
              </w:rPr>
            </w:pPr>
            <w:r w:rsidRPr="00B57E19">
              <w:rPr>
                <w:rFonts w:eastAsiaTheme="minorHAnsi"/>
              </w:rPr>
              <w:t xml:space="preserve">KIT mutation for GIST </w:t>
            </w:r>
          </w:p>
          <w:p w:rsidR="00B57E19" w:rsidRPr="00B57E19" w:rsidRDefault="00B57E19" w:rsidP="00B57E19">
            <w:pPr>
              <w:numPr>
                <w:ilvl w:val="1"/>
                <w:numId w:val="23"/>
              </w:numPr>
              <w:ind w:left="1800"/>
              <w:contextualSpacing/>
              <w:rPr>
                <w:rFonts w:eastAsiaTheme="minorHAnsi"/>
              </w:rPr>
            </w:pPr>
            <w:r w:rsidRPr="00B57E19">
              <w:rPr>
                <w:rFonts w:eastAsiaTheme="minorHAnsi"/>
              </w:rPr>
              <w:t>KIT mutation for melanoma</w:t>
            </w:r>
          </w:p>
          <w:p w:rsidR="00B57E19" w:rsidRPr="00B57E19" w:rsidRDefault="00B57E19" w:rsidP="00B57E19">
            <w:pPr>
              <w:numPr>
                <w:ilvl w:val="1"/>
                <w:numId w:val="23"/>
              </w:numPr>
              <w:ind w:left="1800"/>
              <w:contextualSpacing/>
              <w:rPr>
                <w:rFonts w:eastAsiaTheme="minorHAnsi"/>
              </w:rPr>
            </w:pPr>
            <w:r w:rsidRPr="00B57E19">
              <w:rPr>
                <w:rFonts w:eastAsiaTheme="minorHAnsi"/>
              </w:rPr>
              <w:t>IDH1 and IDH2 mutation</w:t>
            </w:r>
          </w:p>
          <w:p w:rsidR="00B57E19" w:rsidRPr="00B57E19" w:rsidRDefault="00B57E19" w:rsidP="00B57E19">
            <w:pPr>
              <w:numPr>
                <w:ilvl w:val="1"/>
                <w:numId w:val="23"/>
              </w:numPr>
              <w:ind w:left="1800"/>
              <w:contextualSpacing/>
              <w:rPr>
                <w:rFonts w:eastAsiaTheme="minorHAnsi"/>
              </w:rPr>
            </w:pPr>
            <w:r w:rsidRPr="00B57E19">
              <w:rPr>
                <w:rFonts w:eastAsiaTheme="minorHAnsi"/>
              </w:rPr>
              <w:t>Sarcoma testing</w:t>
            </w:r>
          </w:p>
          <w:p w:rsidR="00B57E19" w:rsidRPr="00B57E19" w:rsidRDefault="00B57E19" w:rsidP="00B57E19">
            <w:pPr>
              <w:numPr>
                <w:ilvl w:val="2"/>
                <w:numId w:val="23"/>
              </w:numPr>
              <w:contextualSpacing/>
              <w:rPr>
                <w:rFonts w:eastAsiaTheme="minorHAnsi"/>
              </w:rPr>
            </w:pPr>
            <w:r w:rsidRPr="00B57E19">
              <w:rPr>
                <w:rFonts w:eastAsiaTheme="minorHAnsi"/>
              </w:rPr>
              <w:t>EWSR1/FLI1 and EWSR1/ERG translocation (Ewing Sarcoma)</w:t>
            </w:r>
          </w:p>
          <w:p w:rsidR="00B57E19" w:rsidRPr="00B57E19" w:rsidRDefault="00B57E19" w:rsidP="00B57E19">
            <w:pPr>
              <w:numPr>
                <w:ilvl w:val="2"/>
                <w:numId w:val="23"/>
              </w:numPr>
              <w:contextualSpacing/>
              <w:rPr>
                <w:rFonts w:eastAsiaTheme="minorHAnsi"/>
              </w:rPr>
            </w:pPr>
            <w:proofErr w:type="spellStart"/>
            <w:r w:rsidRPr="00B57E19">
              <w:rPr>
                <w:rFonts w:eastAsiaTheme="minorHAnsi"/>
              </w:rPr>
              <w:t>EWSR1</w:t>
            </w:r>
            <w:proofErr w:type="spellEnd"/>
            <w:r w:rsidRPr="00B57E19">
              <w:rPr>
                <w:rFonts w:eastAsiaTheme="minorHAnsi"/>
              </w:rPr>
              <w:t>/</w:t>
            </w:r>
            <w:proofErr w:type="spellStart"/>
            <w:r w:rsidRPr="00B57E19">
              <w:rPr>
                <w:rFonts w:eastAsiaTheme="minorHAnsi"/>
              </w:rPr>
              <w:t>WT1</w:t>
            </w:r>
            <w:proofErr w:type="spellEnd"/>
            <w:r w:rsidRPr="00B57E19">
              <w:rPr>
                <w:rFonts w:eastAsiaTheme="minorHAnsi"/>
              </w:rPr>
              <w:t xml:space="preserve"> translocation (Desmoplastic Small Round Cell Tumor) </w:t>
            </w:r>
          </w:p>
          <w:p w:rsidR="00B57E19" w:rsidRPr="00B57E19" w:rsidRDefault="00B57E19" w:rsidP="00B57E19">
            <w:pPr>
              <w:numPr>
                <w:ilvl w:val="2"/>
                <w:numId w:val="23"/>
              </w:numPr>
              <w:contextualSpacing/>
              <w:rPr>
                <w:rFonts w:eastAsiaTheme="minorHAnsi"/>
              </w:rPr>
            </w:pPr>
            <w:proofErr w:type="spellStart"/>
            <w:r w:rsidRPr="00B57E19">
              <w:rPr>
                <w:rFonts w:eastAsiaTheme="minorHAnsi"/>
              </w:rPr>
              <w:t>PAX</w:t>
            </w:r>
            <w:proofErr w:type="spellEnd"/>
            <w:r w:rsidRPr="00B57E19">
              <w:rPr>
                <w:rFonts w:eastAsiaTheme="minorHAnsi"/>
              </w:rPr>
              <w:t>/</w:t>
            </w:r>
            <w:proofErr w:type="spellStart"/>
            <w:r w:rsidRPr="00B57E19">
              <w:rPr>
                <w:rFonts w:eastAsiaTheme="minorHAnsi"/>
              </w:rPr>
              <w:t>FOXO1</w:t>
            </w:r>
            <w:proofErr w:type="spellEnd"/>
            <w:r w:rsidRPr="00B57E19">
              <w:rPr>
                <w:rFonts w:eastAsiaTheme="minorHAnsi"/>
              </w:rPr>
              <w:t xml:space="preserve"> translocation (Alveolar Rhabdomyosarcoma)</w:t>
            </w:r>
          </w:p>
          <w:p w:rsidR="00B57E19" w:rsidRPr="00B57E19" w:rsidRDefault="00B57E19" w:rsidP="00B57E19">
            <w:pPr>
              <w:numPr>
                <w:ilvl w:val="2"/>
                <w:numId w:val="23"/>
              </w:numPr>
              <w:contextualSpacing/>
              <w:rPr>
                <w:rFonts w:eastAsiaTheme="minorHAnsi"/>
              </w:rPr>
            </w:pPr>
            <w:r w:rsidRPr="00B57E19">
              <w:rPr>
                <w:rFonts w:eastAsiaTheme="minorHAnsi"/>
              </w:rPr>
              <w:t>SYT/SSX translocation (Synovial Sarcoma)</w:t>
            </w:r>
          </w:p>
          <w:p w:rsidR="00B57E19" w:rsidRPr="00B57E19" w:rsidRDefault="00B57E19" w:rsidP="00B57E19">
            <w:pPr>
              <w:numPr>
                <w:ilvl w:val="2"/>
                <w:numId w:val="23"/>
              </w:numPr>
              <w:contextualSpacing/>
              <w:rPr>
                <w:rFonts w:eastAsiaTheme="minorHAnsi"/>
              </w:rPr>
            </w:pPr>
            <w:r w:rsidRPr="00B57E19">
              <w:rPr>
                <w:rFonts w:eastAsiaTheme="minorHAnsi"/>
              </w:rPr>
              <w:t>EWSR1/ATF1 translocation (Clear Cell Sarcoma)</w:t>
            </w:r>
          </w:p>
          <w:p w:rsidR="00B57E19" w:rsidRPr="00B57E19" w:rsidRDefault="00B57E19" w:rsidP="00B57E19">
            <w:pPr>
              <w:numPr>
                <w:ilvl w:val="2"/>
                <w:numId w:val="23"/>
              </w:numPr>
              <w:contextualSpacing/>
              <w:rPr>
                <w:rFonts w:eastAsiaTheme="minorHAnsi"/>
              </w:rPr>
            </w:pPr>
            <w:r w:rsidRPr="00B57E19">
              <w:rPr>
                <w:rFonts w:eastAsiaTheme="minorHAnsi"/>
              </w:rPr>
              <w:t>EWSR1 rearrangement by FISH</w:t>
            </w:r>
          </w:p>
          <w:p w:rsidR="00B57E19" w:rsidRPr="00B57E19" w:rsidRDefault="00B57E19" w:rsidP="00B57E19">
            <w:pPr>
              <w:numPr>
                <w:ilvl w:val="1"/>
                <w:numId w:val="23"/>
              </w:numPr>
              <w:ind w:left="1800"/>
              <w:contextualSpacing/>
              <w:rPr>
                <w:rFonts w:eastAsiaTheme="minorHAnsi"/>
              </w:rPr>
            </w:pPr>
            <w:r w:rsidRPr="00B57E19">
              <w:rPr>
                <w:rFonts w:eastAsiaTheme="minorHAnsi"/>
              </w:rPr>
              <w:t>HER2 FISH</w:t>
            </w:r>
          </w:p>
          <w:p w:rsidR="00B57E19" w:rsidRPr="00B57E19" w:rsidRDefault="00B57E19" w:rsidP="00B57E19">
            <w:pPr>
              <w:numPr>
                <w:ilvl w:val="1"/>
                <w:numId w:val="23"/>
              </w:numPr>
              <w:ind w:left="1800"/>
              <w:contextualSpacing/>
              <w:rPr>
                <w:rFonts w:eastAsiaTheme="minorHAnsi"/>
              </w:rPr>
            </w:pPr>
            <w:proofErr w:type="spellStart"/>
            <w:r w:rsidRPr="00B57E19">
              <w:rPr>
                <w:rFonts w:eastAsiaTheme="minorHAnsi"/>
              </w:rPr>
              <w:t>UroVysion</w:t>
            </w:r>
            <w:proofErr w:type="spellEnd"/>
            <w:r w:rsidRPr="00B57E19">
              <w:rPr>
                <w:rFonts w:eastAsiaTheme="minorHAnsi"/>
              </w:rPr>
              <w:t xml:space="preserve"> FISH</w:t>
            </w:r>
          </w:p>
          <w:p w:rsidR="00B57E19" w:rsidRPr="00B57E19" w:rsidRDefault="00B57E19" w:rsidP="00B57E19">
            <w:pPr>
              <w:numPr>
                <w:ilvl w:val="0"/>
                <w:numId w:val="23"/>
              </w:numPr>
              <w:contextualSpacing/>
              <w:rPr>
                <w:rFonts w:eastAsiaTheme="minorHAnsi"/>
              </w:rPr>
            </w:pPr>
            <w:r w:rsidRPr="00B57E19">
              <w:rPr>
                <w:rFonts w:eastAsiaTheme="minorHAnsi"/>
              </w:rPr>
              <w:t>Molecular Oncology Testing – Hematopathology</w:t>
            </w:r>
          </w:p>
          <w:p w:rsidR="00B57E19" w:rsidRPr="00B57E19" w:rsidRDefault="00B57E19" w:rsidP="00B57E19">
            <w:pPr>
              <w:numPr>
                <w:ilvl w:val="1"/>
                <w:numId w:val="23"/>
              </w:numPr>
              <w:ind w:left="1800"/>
              <w:contextualSpacing/>
              <w:rPr>
                <w:rFonts w:eastAsiaTheme="minorHAnsi"/>
              </w:rPr>
            </w:pPr>
            <w:r w:rsidRPr="00B57E19">
              <w:rPr>
                <w:rFonts w:eastAsiaTheme="minorHAnsi"/>
              </w:rPr>
              <w:t>Lymphoma</w:t>
            </w:r>
          </w:p>
          <w:p w:rsidR="00B57E19" w:rsidRPr="00B57E19" w:rsidRDefault="00B57E19" w:rsidP="00B57E19">
            <w:pPr>
              <w:numPr>
                <w:ilvl w:val="2"/>
                <w:numId w:val="23"/>
              </w:numPr>
              <w:contextualSpacing/>
              <w:rPr>
                <w:rFonts w:eastAsiaTheme="minorHAnsi"/>
              </w:rPr>
            </w:pPr>
            <w:r w:rsidRPr="00B57E19">
              <w:rPr>
                <w:rFonts w:eastAsiaTheme="minorHAnsi"/>
              </w:rPr>
              <w:t xml:space="preserve">T Cell </w:t>
            </w:r>
            <w:proofErr w:type="spellStart"/>
            <w:r w:rsidRPr="00B57E19">
              <w:rPr>
                <w:rFonts w:eastAsiaTheme="minorHAnsi"/>
              </w:rPr>
              <w:t>Clonality</w:t>
            </w:r>
            <w:proofErr w:type="spellEnd"/>
            <w:r w:rsidRPr="00B57E19">
              <w:rPr>
                <w:rFonts w:eastAsiaTheme="minorHAnsi"/>
              </w:rPr>
              <w:t xml:space="preserve"> (</w:t>
            </w:r>
            <w:proofErr w:type="spellStart"/>
            <w:r w:rsidRPr="00B57E19">
              <w:rPr>
                <w:rFonts w:eastAsiaTheme="minorHAnsi"/>
              </w:rPr>
              <w:t>TRG</w:t>
            </w:r>
            <w:proofErr w:type="spellEnd"/>
            <w:r w:rsidRPr="00B57E19">
              <w:rPr>
                <w:rFonts w:eastAsiaTheme="minorHAnsi"/>
              </w:rPr>
              <w:t xml:space="preserve"> Gene </w:t>
            </w:r>
            <w:proofErr w:type="spellStart"/>
            <w:r w:rsidRPr="00B57E19">
              <w:rPr>
                <w:rFonts w:eastAsiaTheme="minorHAnsi"/>
              </w:rPr>
              <w:t>Rearragement</w:t>
            </w:r>
            <w:proofErr w:type="spellEnd"/>
            <w:r w:rsidRPr="00B57E19">
              <w:rPr>
                <w:rFonts w:eastAsiaTheme="minorHAnsi"/>
              </w:rPr>
              <w:t>)</w:t>
            </w:r>
          </w:p>
          <w:p w:rsidR="00B57E19" w:rsidRPr="00B57E19" w:rsidRDefault="00B57E19" w:rsidP="00B57E19">
            <w:pPr>
              <w:numPr>
                <w:ilvl w:val="2"/>
                <w:numId w:val="23"/>
              </w:numPr>
              <w:contextualSpacing/>
              <w:rPr>
                <w:rFonts w:eastAsiaTheme="minorHAnsi"/>
              </w:rPr>
            </w:pPr>
            <w:r w:rsidRPr="00B57E19">
              <w:rPr>
                <w:rFonts w:eastAsiaTheme="minorHAnsi"/>
              </w:rPr>
              <w:t xml:space="preserve">B Cell </w:t>
            </w:r>
            <w:proofErr w:type="spellStart"/>
            <w:r w:rsidRPr="00B57E19">
              <w:rPr>
                <w:rFonts w:eastAsiaTheme="minorHAnsi"/>
              </w:rPr>
              <w:t>Clonality</w:t>
            </w:r>
            <w:proofErr w:type="spellEnd"/>
            <w:r w:rsidRPr="00B57E19">
              <w:rPr>
                <w:rFonts w:eastAsiaTheme="minorHAnsi"/>
              </w:rPr>
              <w:t xml:space="preserve"> (</w:t>
            </w:r>
            <w:proofErr w:type="spellStart"/>
            <w:r w:rsidRPr="00B57E19">
              <w:rPr>
                <w:rFonts w:eastAsiaTheme="minorHAnsi"/>
              </w:rPr>
              <w:t>IGH</w:t>
            </w:r>
            <w:proofErr w:type="spellEnd"/>
            <w:r w:rsidRPr="00B57E19">
              <w:rPr>
                <w:rFonts w:eastAsiaTheme="minorHAnsi"/>
              </w:rPr>
              <w:t xml:space="preserve"> Gene Rearrangement)</w:t>
            </w:r>
          </w:p>
          <w:p w:rsidR="00B57E19" w:rsidRPr="00B57E19" w:rsidRDefault="00B57E19" w:rsidP="00B57E19">
            <w:pPr>
              <w:numPr>
                <w:ilvl w:val="2"/>
                <w:numId w:val="23"/>
              </w:numPr>
              <w:contextualSpacing/>
              <w:rPr>
                <w:rFonts w:eastAsiaTheme="minorHAnsi"/>
              </w:rPr>
            </w:pPr>
            <w:r w:rsidRPr="00B57E19">
              <w:rPr>
                <w:rFonts w:eastAsiaTheme="minorHAnsi"/>
              </w:rPr>
              <w:t>IGH/BCL2 t(14;18) translocation by PCR</w:t>
            </w:r>
          </w:p>
          <w:p w:rsidR="00B57E19" w:rsidRPr="00B57E19" w:rsidRDefault="00B57E19" w:rsidP="00B57E19">
            <w:pPr>
              <w:numPr>
                <w:ilvl w:val="2"/>
                <w:numId w:val="23"/>
              </w:numPr>
              <w:contextualSpacing/>
              <w:rPr>
                <w:rFonts w:eastAsiaTheme="minorHAnsi"/>
              </w:rPr>
            </w:pPr>
            <w:r w:rsidRPr="00B57E19">
              <w:rPr>
                <w:rFonts w:eastAsiaTheme="minorHAnsi"/>
              </w:rPr>
              <w:t>IGH/BCL2 t(14;18) translocation by FISH</w:t>
            </w:r>
          </w:p>
          <w:p w:rsidR="00B57E19" w:rsidRPr="00B57E19" w:rsidRDefault="00B57E19" w:rsidP="00B57E19">
            <w:pPr>
              <w:numPr>
                <w:ilvl w:val="2"/>
                <w:numId w:val="23"/>
              </w:numPr>
              <w:contextualSpacing/>
              <w:rPr>
                <w:rFonts w:eastAsiaTheme="minorHAnsi"/>
              </w:rPr>
            </w:pPr>
            <w:r w:rsidRPr="00B57E19">
              <w:rPr>
                <w:rFonts w:eastAsiaTheme="minorHAnsi"/>
              </w:rPr>
              <w:t>MYC (8q24) rearrangement by FISH</w:t>
            </w:r>
          </w:p>
          <w:p w:rsidR="00B57E19" w:rsidRPr="00B57E19" w:rsidRDefault="00B57E19" w:rsidP="00B57E19">
            <w:pPr>
              <w:numPr>
                <w:ilvl w:val="2"/>
                <w:numId w:val="23"/>
              </w:numPr>
              <w:contextualSpacing/>
              <w:rPr>
                <w:rFonts w:eastAsiaTheme="minorHAnsi"/>
              </w:rPr>
            </w:pPr>
            <w:r w:rsidRPr="00B57E19">
              <w:rPr>
                <w:rFonts w:eastAsiaTheme="minorHAnsi"/>
              </w:rPr>
              <w:lastRenderedPageBreak/>
              <w:t>BCL6 (3q27) rearrangement by FISH</w:t>
            </w:r>
          </w:p>
          <w:p w:rsidR="00B57E19" w:rsidRPr="00B57E19" w:rsidRDefault="00B57E19" w:rsidP="00B57E19">
            <w:pPr>
              <w:numPr>
                <w:ilvl w:val="1"/>
                <w:numId w:val="23"/>
              </w:numPr>
              <w:ind w:left="1800"/>
              <w:contextualSpacing/>
              <w:rPr>
                <w:rFonts w:eastAsiaTheme="minorHAnsi"/>
              </w:rPr>
            </w:pPr>
            <w:r w:rsidRPr="00B57E19">
              <w:rPr>
                <w:rFonts w:eastAsiaTheme="minorHAnsi"/>
              </w:rPr>
              <w:t>Acute Leukemia</w:t>
            </w:r>
          </w:p>
          <w:p w:rsidR="00B57E19" w:rsidRPr="00B57E19" w:rsidRDefault="00B57E19" w:rsidP="00B57E19">
            <w:pPr>
              <w:numPr>
                <w:ilvl w:val="2"/>
                <w:numId w:val="23"/>
              </w:numPr>
              <w:contextualSpacing/>
              <w:rPr>
                <w:rFonts w:eastAsiaTheme="minorHAnsi"/>
              </w:rPr>
            </w:pPr>
            <w:r w:rsidRPr="00B57E19">
              <w:rPr>
                <w:rFonts w:eastAsiaTheme="minorHAnsi"/>
              </w:rPr>
              <w:t>NPM1 mutation</w:t>
            </w:r>
          </w:p>
          <w:p w:rsidR="00B57E19" w:rsidRPr="00B57E19" w:rsidRDefault="00B57E19" w:rsidP="00B57E19">
            <w:pPr>
              <w:numPr>
                <w:ilvl w:val="2"/>
                <w:numId w:val="23"/>
              </w:numPr>
              <w:contextualSpacing/>
              <w:rPr>
                <w:rFonts w:eastAsiaTheme="minorHAnsi"/>
              </w:rPr>
            </w:pPr>
            <w:r w:rsidRPr="00B57E19">
              <w:rPr>
                <w:rFonts w:eastAsiaTheme="minorHAnsi"/>
              </w:rPr>
              <w:t>FLT3 mutation</w:t>
            </w:r>
          </w:p>
          <w:p w:rsidR="00B57E19" w:rsidRPr="00B57E19" w:rsidRDefault="00B57E19" w:rsidP="00B57E19">
            <w:pPr>
              <w:numPr>
                <w:ilvl w:val="2"/>
                <w:numId w:val="23"/>
              </w:numPr>
              <w:contextualSpacing/>
              <w:rPr>
                <w:rFonts w:eastAsiaTheme="minorHAnsi"/>
              </w:rPr>
            </w:pPr>
            <w:r w:rsidRPr="00B57E19">
              <w:rPr>
                <w:rFonts w:eastAsiaTheme="minorHAnsi"/>
              </w:rPr>
              <w:t>IDH1 and IDH2 mutation</w:t>
            </w:r>
          </w:p>
          <w:p w:rsidR="00B57E19" w:rsidRPr="00B57E19" w:rsidRDefault="00B57E19" w:rsidP="00B57E19">
            <w:pPr>
              <w:numPr>
                <w:ilvl w:val="2"/>
                <w:numId w:val="23"/>
              </w:numPr>
              <w:contextualSpacing/>
              <w:rPr>
                <w:rFonts w:eastAsiaTheme="minorHAnsi"/>
              </w:rPr>
            </w:pPr>
            <w:r w:rsidRPr="00B57E19">
              <w:rPr>
                <w:rFonts w:eastAsiaTheme="minorHAnsi"/>
              </w:rPr>
              <w:t>CEBPA mutation</w:t>
            </w:r>
          </w:p>
          <w:p w:rsidR="00B57E19" w:rsidRPr="00B57E19" w:rsidRDefault="00B57E19" w:rsidP="00B57E19">
            <w:pPr>
              <w:numPr>
                <w:ilvl w:val="2"/>
                <w:numId w:val="23"/>
              </w:numPr>
              <w:contextualSpacing/>
              <w:rPr>
                <w:rFonts w:eastAsiaTheme="minorHAnsi"/>
              </w:rPr>
            </w:pPr>
            <w:r w:rsidRPr="00B57E19">
              <w:rPr>
                <w:rFonts w:eastAsiaTheme="minorHAnsi"/>
              </w:rPr>
              <w:t>KIT D816V mutation</w:t>
            </w:r>
          </w:p>
          <w:p w:rsidR="00B57E19" w:rsidRPr="00B57E19" w:rsidRDefault="00B57E19" w:rsidP="00B57E19">
            <w:pPr>
              <w:numPr>
                <w:ilvl w:val="2"/>
                <w:numId w:val="23"/>
              </w:numPr>
              <w:contextualSpacing/>
              <w:rPr>
                <w:rFonts w:eastAsiaTheme="minorHAnsi"/>
              </w:rPr>
            </w:pPr>
            <w:r w:rsidRPr="00B57E19">
              <w:rPr>
                <w:rFonts w:eastAsiaTheme="minorHAnsi"/>
              </w:rPr>
              <w:t>PML/RARA t(15;17) translocation</w:t>
            </w:r>
          </w:p>
          <w:p w:rsidR="00B57E19" w:rsidRPr="00B57E19" w:rsidRDefault="00B57E19" w:rsidP="00B57E19">
            <w:pPr>
              <w:numPr>
                <w:ilvl w:val="1"/>
                <w:numId w:val="23"/>
              </w:numPr>
              <w:ind w:left="1800"/>
              <w:contextualSpacing/>
              <w:rPr>
                <w:rFonts w:eastAsiaTheme="minorHAnsi"/>
              </w:rPr>
            </w:pPr>
            <w:proofErr w:type="spellStart"/>
            <w:r w:rsidRPr="00B57E19">
              <w:rPr>
                <w:rFonts w:eastAsiaTheme="minorHAnsi"/>
              </w:rPr>
              <w:t>Myeloproliferative</w:t>
            </w:r>
            <w:proofErr w:type="spellEnd"/>
            <w:r w:rsidRPr="00B57E19">
              <w:rPr>
                <w:rFonts w:eastAsiaTheme="minorHAnsi"/>
              </w:rPr>
              <w:t xml:space="preserve"> Neoplasms (</w:t>
            </w:r>
            <w:proofErr w:type="spellStart"/>
            <w:r w:rsidRPr="00B57E19">
              <w:rPr>
                <w:rFonts w:eastAsiaTheme="minorHAnsi"/>
              </w:rPr>
              <w:t>MPN</w:t>
            </w:r>
            <w:proofErr w:type="spellEnd"/>
            <w:r w:rsidRPr="00B57E19">
              <w:rPr>
                <w:rFonts w:eastAsiaTheme="minorHAnsi"/>
              </w:rPr>
              <w:t>)/CML</w:t>
            </w:r>
          </w:p>
          <w:p w:rsidR="00B57E19" w:rsidRPr="00B57E19" w:rsidRDefault="00B57E19" w:rsidP="00B57E19">
            <w:pPr>
              <w:numPr>
                <w:ilvl w:val="2"/>
                <w:numId w:val="23"/>
              </w:numPr>
              <w:contextualSpacing/>
              <w:rPr>
                <w:rFonts w:eastAsiaTheme="minorHAnsi"/>
              </w:rPr>
            </w:pPr>
            <w:r w:rsidRPr="00B57E19">
              <w:rPr>
                <w:rFonts w:eastAsiaTheme="minorHAnsi"/>
              </w:rPr>
              <w:t>BCR/ABL1 analysis, quantitative</w:t>
            </w:r>
          </w:p>
          <w:p w:rsidR="00B57E19" w:rsidRPr="00B57E19" w:rsidRDefault="00B57E19" w:rsidP="00B57E19">
            <w:pPr>
              <w:numPr>
                <w:ilvl w:val="2"/>
                <w:numId w:val="23"/>
              </w:numPr>
              <w:contextualSpacing/>
              <w:rPr>
                <w:rFonts w:eastAsiaTheme="minorHAnsi"/>
              </w:rPr>
            </w:pPr>
            <w:r w:rsidRPr="00B57E19">
              <w:rPr>
                <w:rFonts w:eastAsiaTheme="minorHAnsi"/>
              </w:rPr>
              <w:t>BCR/ABL1 kinase domain mutation</w:t>
            </w:r>
          </w:p>
          <w:p w:rsidR="00B57E19" w:rsidRPr="00B57E19" w:rsidRDefault="00B57E19" w:rsidP="00B57E19">
            <w:pPr>
              <w:numPr>
                <w:ilvl w:val="2"/>
                <w:numId w:val="23"/>
              </w:numPr>
              <w:contextualSpacing/>
              <w:rPr>
                <w:rFonts w:eastAsiaTheme="minorHAnsi"/>
              </w:rPr>
            </w:pPr>
            <w:r w:rsidRPr="00B57E19">
              <w:rPr>
                <w:rFonts w:eastAsiaTheme="minorHAnsi"/>
              </w:rPr>
              <w:t>JAK2 V617F mutation</w:t>
            </w:r>
          </w:p>
          <w:p w:rsidR="00B57E19" w:rsidRPr="00B57E19" w:rsidRDefault="00B57E19" w:rsidP="00B57E19">
            <w:pPr>
              <w:numPr>
                <w:ilvl w:val="2"/>
                <w:numId w:val="23"/>
              </w:numPr>
              <w:contextualSpacing/>
              <w:rPr>
                <w:rFonts w:eastAsiaTheme="minorHAnsi"/>
              </w:rPr>
            </w:pPr>
            <w:r w:rsidRPr="00B57E19">
              <w:rPr>
                <w:rFonts w:eastAsiaTheme="minorHAnsi"/>
              </w:rPr>
              <w:t>JAK2 Exon 12 mutation</w:t>
            </w:r>
          </w:p>
          <w:p w:rsidR="00B57E19" w:rsidRPr="00B57E19" w:rsidRDefault="00B57E19" w:rsidP="00B57E19">
            <w:pPr>
              <w:numPr>
                <w:ilvl w:val="2"/>
                <w:numId w:val="23"/>
              </w:numPr>
              <w:contextualSpacing/>
              <w:rPr>
                <w:rFonts w:eastAsiaTheme="minorHAnsi"/>
              </w:rPr>
            </w:pPr>
            <w:r w:rsidRPr="00B57E19">
              <w:rPr>
                <w:rFonts w:eastAsiaTheme="minorHAnsi"/>
              </w:rPr>
              <w:t>MPL mutation</w:t>
            </w:r>
          </w:p>
          <w:p w:rsidR="00B57E19" w:rsidRPr="00B57E19" w:rsidRDefault="00B57E19" w:rsidP="00B57E19">
            <w:pPr>
              <w:numPr>
                <w:ilvl w:val="2"/>
                <w:numId w:val="23"/>
              </w:numPr>
              <w:contextualSpacing/>
              <w:rPr>
                <w:rFonts w:eastAsiaTheme="minorHAnsi"/>
              </w:rPr>
            </w:pPr>
            <w:r w:rsidRPr="00B57E19">
              <w:rPr>
                <w:rFonts w:eastAsiaTheme="minorHAnsi"/>
              </w:rPr>
              <w:t>KIT D816V mutation</w:t>
            </w:r>
          </w:p>
          <w:p w:rsidR="00B57E19" w:rsidRPr="00B57E19" w:rsidRDefault="00B57E19" w:rsidP="00B57E19">
            <w:pPr>
              <w:numPr>
                <w:ilvl w:val="0"/>
                <w:numId w:val="23"/>
              </w:numPr>
              <w:contextualSpacing/>
              <w:rPr>
                <w:rFonts w:eastAsiaTheme="minorHAnsi"/>
              </w:rPr>
            </w:pPr>
            <w:r w:rsidRPr="00B57E19">
              <w:rPr>
                <w:rFonts w:eastAsiaTheme="minorHAnsi"/>
              </w:rPr>
              <w:t>Inherited Disease Testing</w:t>
            </w:r>
          </w:p>
          <w:p w:rsidR="00B57E19" w:rsidRPr="00B57E19" w:rsidRDefault="00B57E19" w:rsidP="00B57E19">
            <w:pPr>
              <w:numPr>
                <w:ilvl w:val="1"/>
                <w:numId w:val="23"/>
              </w:numPr>
              <w:ind w:left="1800"/>
              <w:contextualSpacing/>
              <w:rPr>
                <w:rFonts w:eastAsiaTheme="minorHAnsi"/>
              </w:rPr>
            </w:pPr>
            <w:r w:rsidRPr="00B57E19">
              <w:rPr>
                <w:rFonts w:eastAsiaTheme="minorHAnsi"/>
              </w:rPr>
              <w:t>Cystic fibrosis carrier screening</w:t>
            </w:r>
          </w:p>
          <w:p w:rsidR="00B57E19" w:rsidRPr="00B57E19" w:rsidRDefault="00B57E19" w:rsidP="00B57E19">
            <w:pPr>
              <w:numPr>
                <w:ilvl w:val="1"/>
                <w:numId w:val="23"/>
              </w:numPr>
              <w:ind w:left="1800"/>
              <w:contextualSpacing/>
              <w:rPr>
                <w:rFonts w:eastAsiaTheme="minorHAnsi"/>
              </w:rPr>
            </w:pPr>
            <w:proofErr w:type="spellStart"/>
            <w:r w:rsidRPr="00B57E19">
              <w:rPr>
                <w:rFonts w:eastAsiaTheme="minorHAnsi"/>
              </w:rPr>
              <w:t>Apolipoprotein</w:t>
            </w:r>
            <w:proofErr w:type="spellEnd"/>
            <w:r w:rsidRPr="00B57E19">
              <w:rPr>
                <w:rFonts w:eastAsiaTheme="minorHAnsi"/>
              </w:rPr>
              <w:t xml:space="preserve"> E genotyping</w:t>
            </w:r>
          </w:p>
          <w:p w:rsidR="00B57E19" w:rsidRPr="00B57E19" w:rsidRDefault="00B57E19" w:rsidP="00B57E19">
            <w:pPr>
              <w:numPr>
                <w:ilvl w:val="1"/>
                <w:numId w:val="23"/>
              </w:numPr>
              <w:ind w:left="1800"/>
              <w:contextualSpacing/>
              <w:rPr>
                <w:rFonts w:eastAsiaTheme="minorHAnsi"/>
              </w:rPr>
            </w:pPr>
            <w:r w:rsidRPr="00B57E19">
              <w:rPr>
                <w:rFonts w:eastAsiaTheme="minorHAnsi"/>
              </w:rPr>
              <w:t>Hereditary Hemochromatosis mutation</w:t>
            </w:r>
          </w:p>
          <w:p w:rsidR="00B57E19" w:rsidRPr="00B57E19" w:rsidRDefault="00B57E19" w:rsidP="00B57E19">
            <w:pPr>
              <w:numPr>
                <w:ilvl w:val="1"/>
                <w:numId w:val="23"/>
              </w:numPr>
              <w:ind w:left="1800"/>
              <w:contextualSpacing/>
              <w:rPr>
                <w:rFonts w:eastAsiaTheme="minorHAnsi"/>
              </w:rPr>
            </w:pPr>
            <w:r w:rsidRPr="00B57E19">
              <w:rPr>
                <w:rFonts w:eastAsiaTheme="minorHAnsi"/>
              </w:rPr>
              <w:t>Factor V Leiden mutation</w:t>
            </w:r>
          </w:p>
          <w:p w:rsidR="00B57E19" w:rsidRPr="00B57E19" w:rsidRDefault="00B57E19" w:rsidP="00B57E19">
            <w:pPr>
              <w:numPr>
                <w:ilvl w:val="1"/>
                <w:numId w:val="23"/>
              </w:numPr>
              <w:ind w:left="1800"/>
              <w:contextualSpacing/>
              <w:rPr>
                <w:rFonts w:eastAsiaTheme="minorHAnsi"/>
              </w:rPr>
            </w:pPr>
            <w:r w:rsidRPr="00B57E19">
              <w:rPr>
                <w:rFonts w:eastAsiaTheme="minorHAnsi"/>
              </w:rPr>
              <w:t>Prothrombin 20210 mutation</w:t>
            </w:r>
          </w:p>
          <w:p w:rsidR="00B57E19" w:rsidRPr="00B57E19" w:rsidRDefault="00B57E19" w:rsidP="00B57E19">
            <w:pPr>
              <w:numPr>
                <w:ilvl w:val="1"/>
                <w:numId w:val="23"/>
              </w:numPr>
              <w:ind w:left="1800"/>
              <w:contextualSpacing/>
              <w:rPr>
                <w:rFonts w:eastAsiaTheme="minorHAnsi"/>
              </w:rPr>
            </w:pPr>
            <w:r w:rsidRPr="00B57E19">
              <w:rPr>
                <w:rFonts w:eastAsiaTheme="minorHAnsi"/>
              </w:rPr>
              <w:t>Methylenetetrahydrofolate Reductase mutation</w:t>
            </w:r>
          </w:p>
          <w:p w:rsidR="00B57E19" w:rsidRPr="00B57E19" w:rsidRDefault="00B57E19" w:rsidP="00B57E19">
            <w:pPr>
              <w:numPr>
                <w:ilvl w:val="0"/>
                <w:numId w:val="23"/>
              </w:numPr>
              <w:contextualSpacing/>
              <w:rPr>
                <w:rFonts w:eastAsiaTheme="minorHAnsi"/>
              </w:rPr>
            </w:pPr>
            <w:proofErr w:type="spellStart"/>
            <w:r w:rsidRPr="00B57E19">
              <w:rPr>
                <w:rFonts w:eastAsiaTheme="minorHAnsi"/>
              </w:rPr>
              <w:t>Pharmacogenetic</w:t>
            </w:r>
            <w:proofErr w:type="spellEnd"/>
            <w:r w:rsidRPr="00B57E19">
              <w:rPr>
                <w:rFonts w:eastAsiaTheme="minorHAnsi"/>
              </w:rPr>
              <w:t xml:space="preserve"> Testing</w:t>
            </w:r>
          </w:p>
          <w:p w:rsidR="00B57E19" w:rsidRPr="00B57E19" w:rsidRDefault="00B57E19" w:rsidP="00B57E19">
            <w:pPr>
              <w:numPr>
                <w:ilvl w:val="1"/>
                <w:numId w:val="23"/>
              </w:numPr>
              <w:ind w:left="1800"/>
              <w:contextualSpacing/>
              <w:rPr>
                <w:rFonts w:eastAsiaTheme="minorHAnsi"/>
              </w:rPr>
            </w:pPr>
            <w:proofErr w:type="spellStart"/>
            <w:r w:rsidRPr="00B57E19">
              <w:rPr>
                <w:rFonts w:eastAsiaTheme="minorHAnsi"/>
              </w:rPr>
              <w:t>Irinotecan</w:t>
            </w:r>
            <w:proofErr w:type="spellEnd"/>
            <w:r w:rsidRPr="00B57E19">
              <w:rPr>
                <w:rFonts w:eastAsiaTheme="minorHAnsi"/>
              </w:rPr>
              <w:t xml:space="preserve"> sensitivity</w:t>
            </w:r>
          </w:p>
          <w:p w:rsidR="00B57E19" w:rsidRPr="00B57E19" w:rsidRDefault="00B57E19" w:rsidP="00B57E19">
            <w:pPr>
              <w:numPr>
                <w:ilvl w:val="1"/>
                <w:numId w:val="23"/>
              </w:numPr>
              <w:ind w:left="1800"/>
              <w:contextualSpacing/>
              <w:rPr>
                <w:rFonts w:eastAsiaTheme="minorHAnsi"/>
              </w:rPr>
            </w:pPr>
            <w:r w:rsidRPr="00B57E19">
              <w:rPr>
                <w:rFonts w:eastAsiaTheme="minorHAnsi"/>
              </w:rPr>
              <w:t>Warfarin sensitivity</w:t>
            </w:r>
          </w:p>
          <w:p w:rsidR="00B57E19" w:rsidRPr="00B57E19" w:rsidRDefault="00B57E19" w:rsidP="00B57E19">
            <w:pPr>
              <w:numPr>
                <w:ilvl w:val="0"/>
                <w:numId w:val="23"/>
              </w:numPr>
              <w:contextualSpacing/>
              <w:rPr>
                <w:rFonts w:eastAsiaTheme="minorHAnsi"/>
              </w:rPr>
            </w:pPr>
            <w:r w:rsidRPr="00B57E19">
              <w:rPr>
                <w:rFonts w:eastAsiaTheme="minorHAnsi"/>
              </w:rPr>
              <w:t>Identity Testing (Bone marrow engraftment monitoring)</w:t>
            </w:r>
          </w:p>
          <w:p w:rsidR="000E489F" w:rsidRDefault="000E489F" w:rsidP="000E489F"/>
          <w:p w:rsidR="000E489F" w:rsidRPr="00B50E10" w:rsidRDefault="000E489F" w:rsidP="000E489F"/>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lastRenderedPageBreak/>
              <w:t>Patient Care</w:t>
            </w:r>
          </w:p>
          <w:p w:rsidR="00C507B5" w:rsidRPr="00B50E10" w:rsidRDefault="000C6D5F" w:rsidP="00C507B5">
            <w:pPr>
              <w:rPr>
                <w:b/>
              </w:rPr>
            </w:pPr>
            <w:r>
              <w:t>Uses laboratory data and own observations to generate accurate diagnoses and differential diagnoses; suggests appropriate ancillary studies as needed</w:t>
            </w:r>
            <w:proofErr w:type="gramStart"/>
            <w:r>
              <w:t>;  responds</w:t>
            </w:r>
            <w:proofErr w:type="gramEnd"/>
            <w:r>
              <w:t xml:space="preserve"> to requests for consultation.</w:t>
            </w:r>
          </w:p>
        </w:tc>
        <w:tc>
          <w:tcPr>
            <w:tcW w:w="9450" w:type="dxa"/>
            <w:shd w:val="clear" w:color="auto" w:fill="FDE9D9" w:themeFill="accent6" w:themeFillTint="33"/>
          </w:tcPr>
          <w:p w:rsidR="00C507B5" w:rsidRDefault="00C507B5" w:rsidP="00C507B5">
            <w:r w:rsidRPr="00B50E10">
              <w:t>With app</w:t>
            </w:r>
            <w:r w:rsidR="007E3E2B">
              <w:t>ropriate supervision</w:t>
            </w:r>
            <w:r w:rsidRPr="00B50E10">
              <w:t>, the resident will</w:t>
            </w:r>
            <w:r w:rsidR="007E3E2B">
              <w:t xml:space="preserve"> contribute to patient care by</w:t>
            </w:r>
            <w:r w:rsidRPr="00B50E10">
              <w:t xml:space="preserve"> </w:t>
            </w:r>
            <w:r w:rsidR="0091709D">
              <w:t>:</w:t>
            </w:r>
          </w:p>
          <w:p w:rsidR="00C507B5" w:rsidRDefault="00B57E19" w:rsidP="00B57E19">
            <w:pPr>
              <w:pStyle w:val="ListParagraph"/>
              <w:numPr>
                <w:ilvl w:val="0"/>
                <w:numId w:val="12"/>
              </w:numPr>
            </w:pPr>
            <w:r>
              <w:t>Developing expertise in the interpretation of the above types of test, forming independent interpretations.</w:t>
            </w:r>
            <w:r w:rsidR="0091709D">
              <w:t xml:space="preserve">  The resident will then review their interpretation with the attend</w:t>
            </w:r>
            <w:r>
              <w:t>ing pathologist during sign-out.</w:t>
            </w:r>
          </w:p>
          <w:p w:rsidR="00B57E19" w:rsidRDefault="00B57E19" w:rsidP="00B57E19">
            <w:pPr>
              <w:pStyle w:val="ListParagraph"/>
              <w:numPr>
                <w:ilvl w:val="0"/>
                <w:numId w:val="12"/>
              </w:numPr>
            </w:pPr>
            <w:r>
              <w:t>Offering suggestions as to the appropriate follow up testing that may be indicated</w:t>
            </w:r>
          </w:p>
          <w:p w:rsidR="00B57E19" w:rsidRPr="00B50E10" w:rsidRDefault="00B57E19" w:rsidP="00B57E19">
            <w:pPr>
              <w:pStyle w:val="ListParagraph"/>
              <w:numPr>
                <w:ilvl w:val="0"/>
                <w:numId w:val="12"/>
              </w:numPr>
            </w:pPr>
            <w:r>
              <w:t xml:space="preserve">Working with faculty to respond to consultative requests from pathologists and other health </w:t>
            </w:r>
            <w:r>
              <w:lastRenderedPageBreak/>
              <w:t>care providers</w:t>
            </w:r>
          </w:p>
        </w:tc>
      </w:tr>
      <w:tr w:rsidR="00C507B5" w:rsidRPr="00B50E10" w:rsidTr="00C507B5">
        <w:trPr>
          <w:trHeight w:val="962"/>
        </w:trPr>
        <w:tc>
          <w:tcPr>
            <w:tcW w:w="4158" w:type="dxa"/>
            <w:shd w:val="clear" w:color="auto" w:fill="FDE9D9" w:themeFill="accent6" w:themeFillTint="33"/>
          </w:tcPr>
          <w:p w:rsidR="00C507B5" w:rsidRPr="00B50E10" w:rsidRDefault="00C507B5" w:rsidP="00C507B5">
            <w:pPr>
              <w:rPr>
                <w:b/>
              </w:rPr>
            </w:pPr>
            <w:r w:rsidRPr="00B50E10">
              <w:rPr>
                <w:b/>
              </w:rPr>
              <w:lastRenderedPageBreak/>
              <w:t>Practice-based Learning and Improvement</w:t>
            </w:r>
          </w:p>
          <w:p w:rsidR="00C507B5" w:rsidRPr="00B50E10" w:rsidRDefault="000C6D5F" w:rsidP="00C507B5">
            <w:pPr>
              <w:rPr>
                <w:b/>
              </w:rPr>
            </w:pPr>
            <w:r>
              <w:t>Adapts practices based on literature review, case outcomes, peer reviews, and system demands; seeks and gives feedback to improve self and others.</w:t>
            </w:r>
          </w:p>
        </w:tc>
        <w:tc>
          <w:tcPr>
            <w:tcW w:w="9450" w:type="dxa"/>
            <w:shd w:val="clear" w:color="auto" w:fill="FDE9D9" w:themeFill="accent6" w:themeFillTint="33"/>
          </w:tcPr>
          <w:p w:rsidR="007E3E2B" w:rsidRDefault="007E3E2B" w:rsidP="00C507B5">
            <w:r>
              <w:t xml:space="preserve">The  resident </w:t>
            </w:r>
            <w:r w:rsidR="002D0A2B">
              <w:t xml:space="preserve">will </w:t>
            </w:r>
            <w:r>
              <w:t>continue to develop practice-based learning and improvement by:</w:t>
            </w:r>
          </w:p>
          <w:p w:rsidR="000E489F" w:rsidRDefault="00DB7651" w:rsidP="000E489F">
            <w:pPr>
              <w:pStyle w:val="ListParagraph"/>
              <w:numPr>
                <w:ilvl w:val="0"/>
                <w:numId w:val="12"/>
              </w:numPr>
            </w:pPr>
            <w:r>
              <w:t>Discussing the assigned topics with the attending pathologist as well as any junior residents on service.</w:t>
            </w:r>
          </w:p>
          <w:p w:rsidR="000E489F" w:rsidRPr="000E489F" w:rsidRDefault="000E489F" w:rsidP="000E489F">
            <w:pPr>
              <w:pStyle w:val="ListParagraph"/>
              <w:numPr>
                <w:ilvl w:val="0"/>
                <w:numId w:val="12"/>
              </w:numPr>
            </w:pPr>
            <w:r w:rsidRPr="000E489F">
              <w:rPr>
                <w:sz w:val="24"/>
                <w:szCs w:val="24"/>
              </w:rPr>
              <w:t>The resident is expected to attend and participate actively in all lectures.</w:t>
            </w:r>
          </w:p>
          <w:p w:rsidR="000E489F" w:rsidRPr="00B57E19" w:rsidRDefault="000E489F" w:rsidP="000E489F">
            <w:pPr>
              <w:pStyle w:val="ListParagraph"/>
              <w:numPr>
                <w:ilvl w:val="0"/>
                <w:numId w:val="12"/>
              </w:numPr>
            </w:pPr>
            <w:r w:rsidRPr="000E489F">
              <w:rPr>
                <w:sz w:val="24"/>
                <w:szCs w:val="24"/>
              </w:rPr>
              <w:t xml:space="preserve">The resident is expected to attend continuing education program at the Molecular Diagnostics Laboratory at </w:t>
            </w:r>
            <w:proofErr w:type="spellStart"/>
            <w:r w:rsidRPr="000E489F">
              <w:rPr>
                <w:sz w:val="24"/>
                <w:szCs w:val="24"/>
              </w:rPr>
              <w:t>Traverwood</w:t>
            </w:r>
            <w:proofErr w:type="spellEnd"/>
            <w:r w:rsidRPr="000E489F">
              <w:rPr>
                <w:sz w:val="24"/>
                <w:szCs w:val="24"/>
              </w:rPr>
              <w:t>, and other additional seminars and lectures related to molecular pathology as applicable.</w:t>
            </w:r>
          </w:p>
          <w:p w:rsidR="00C507B5" w:rsidRPr="00B50E10" w:rsidRDefault="00B57E19" w:rsidP="00B57E19">
            <w:pPr>
              <w:pStyle w:val="ListParagraph"/>
              <w:numPr>
                <w:ilvl w:val="0"/>
                <w:numId w:val="12"/>
              </w:numPr>
            </w:pPr>
            <w:r>
              <w:rPr>
                <w:sz w:val="24"/>
                <w:szCs w:val="24"/>
              </w:rPr>
              <w:t>Prepare and present a teaching case, as assigned, at CP Case conference</w:t>
            </w: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Interpersonal and Communication Skills</w:t>
            </w:r>
          </w:p>
          <w:p w:rsidR="00C507B5" w:rsidRPr="00B50E10" w:rsidRDefault="000C6D5F" w:rsidP="00C507B5">
            <w:pPr>
              <w:rPr>
                <w:b/>
              </w:rPr>
            </w:pPr>
            <w:r>
              <w:t xml:space="preserve">Effectively communicates in a variety of settings, including during conferences, while providing consultations, and teaching peers.  </w:t>
            </w:r>
          </w:p>
        </w:tc>
        <w:tc>
          <w:tcPr>
            <w:tcW w:w="9450" w:type="dxa"/>
            <w:shd w:val="clear" w:color="auto" w:fill="FDE9D9" w:themeFill="accent6" w:themeFillTint="33"/>
          </w:tcPr>
          <w:p w:rsidR="00C507B5" w:rsidRDefault="00C507B5" w:rsidP="00C507B5">
            <w:r w:rsidRPr="00B50E10">
              <w:t>The resident will</w:t>
            </w:r>
            <w:r w:rsidR="00DB7651">
              <w:t xml:space="preserve"> demonstrate interpersonal and communication skills by:</w:t>
            </w:r>
          </w:p>
          <w:p w:rsidR="00DB7651" w:rsidRDefault="00DB7651" w:rsidP="00DB7651">
            <w:pPr>
              <w:pStyle w:val="ListParagraph"/>
              <w:numPr>
                <w:ilvl w:val="0"/>
                <w:numId w:val="12"/>
              </w:numPr>
            </w:pPr>
            <w:r>
              <w:t>Communicating independently and clearly with all members of the laboratory.</w:t>
            </w:r>
          </w:p>
          <w:p w:rsidR="00DB7651" w:rsidRDefault="00DB7651" w:rsidP="00DB7651">
            <w:pPr>
              <w:pStyle w:val="ListParagraph"/>
              <w:numPr>
                <w:ilvl w:val="0"/>
                <w:numId w:val="12"/>
              </w:numPr>
            </w:pPr>
            <w:r>
              <w:t>Serving as the first line contact to clinicians requesting laboratory results or consultative advice for selecting the correct assay given a specific clinical situation.</w:t>
            </w:r>
          </w:p>
          <w:p w:rsidR="005B1898" w:rsidRPr="00B50E10" w:rsidRDefault="00B57E19" w:rsidP="00B57E19">
            <w:pPr>
              <w:pStyle w:val="ListParagraph"/>
              <w:numPr>
                <w:ilvl w:val="0"/>
                <w:numId w:val="12"/>
              </w:numPr>
            </w:pPr>
            <w:r>
              <w:rPr>
                <w:sz w:val="24"/>
                <w:szCs w:val="24"/>
              </w:rPr>
              <w:t>Again, prepare a</w:t>
            </w:r>
            <w:r w:rsidRPr="00D911A4">
              <w:rPr>
                <w:sz w:val="24"/>
                <w:szCs w:val="24"/>
              </w:rPr>
              <w:t xml:space="preserve"> research topic (literature review) </w:t>
            </w:r>
            <w:r>
              <w:rPr>
                <w:sz w:val="24"/>
                <w:szCs w:val="24"/>
              </w:rPr>
              <w:t>and present this</w:t>
            </w:r>
            <w:r w:rsidRPr="00D911A4">
              <w:rPr>
                <w:sz w:val="24"/>
                <w:szCs w:val="24"/>
              </w:rPr>
              <w:t xml:space="preserve"> as a formal seminar at the end of the rotation.   The resident will focus on a single area of clinical molecular testing and critically examine the impact on diagnosis and disease management.</w:t>
            </w: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Professionalism</w:t>
            </w:r>
          </w:p>
          <w:p w:rsidR="00C507B5" w:rsidRPr="00B50E10" w:rsidRDefault="000C6D5F" w:rsidP="00C507B5">
            <w:pPr>
              <w:rPr>
                <w:b/>
              </w:rPr>
            </w:pPr>
            <w:r>
              <w:t>Manages patient care duties and interacts with other providers with compassion and respect for diversity; recognizes and responds to need for help from colleagues.</w:t>
            </w:r>
          </w:p>
        </w:tc>
        <w:tc>
          <w:tcPr>
            <w:tcW w:w="9450" w:type="dxa"/>
            <w:shd w:val="clear" w:color="auto" w:fill="FDE9D9" w:themeFill="accent6" w:themeFillTint="33"/>
          </w:tcPr>
          <w:p w:rsidR="00C507B5" w:rsidRDefault="00DB7651" w:rsidP="00C507B5">
            <w:r>
              <w:t>The resident will demonstrate professionalism at all times by:</w:t>
            </w:r>
          </w:p>
          <w:p w:rsidR="00DB7651" w:rsidRDefault="00DB7651" w:rsidP="00DB7651">
            <w:pPr>
              <w:pStyle w:val="ListParagraph"/>
              <w:numPr>
                <w:ilvl w:val="0"/>
                <w:numId w:val="12"/>
              </w:numPr>
            </w:pPr>
            <w:r>
              <w:t xml:space="preserve">Being on time for all sign-outs, journal club presentations </w:t>
            </w:r>
            <w:proofErr w:type="gramStart"/>
            <w:r>
              <w:t>and  conferences</w:t>
            </w:r>
            <w:proofErr w:type="gramEnd"/>
            <w:r>
              <w:t>.</w:t>
            </w:r>
          </w:p>
          <w:p w:rsidR="00DB7651" w:rsidRDefault="00DB7651" w:rsidP="00DB7651">
            <w:pPr>
              <w:pStyle w:val="ListParagraph"/>
              <w:numPr>
                <w:ilvl w:val="0"/>
                <w:numId w:val="12"/>
              </w:numPr>
            </w:pPr>
            <w:r>
              <w:t>Demonstrating respect for all members of the laboratory team and others that they interact.</w:t>
            </w:r>
          </w:p>
          <w:p w:rsidR="00DB7651" w:rsidRPr="00B50E10" w:rsidRDefault="00DB7651" w:rsidP="00DB7651">
            <w:pPr>
              <w:pStyle w:val="ListParagraph"/>
              <w:numPr>
                <w:ilvl w:val="0"/>
                <w:numId w:val="12"/>
              </w:numPr>
            </w:pPr>
            <w:r>
              <w:t>Responding in a prompt manner for any issues related to patient care and clinical requests.</w:t>
            </w:r>
          </w:p>
          <w:p w:rsidR="005B1898" w:rsidRPr="00B50E10" w:rsidRDefault="005B1898" w:rsidP="004501D9">
            <w:pPr>
              <w:pStyle w:val="ListParagraph"/>
            </w:pPr>
          </w:p>
        </w:tc>
      </w:tr>
      <w:tr w:rsidR="00C507B5" w:rsidRPr="00B50E10" w:rsidTr="00A15DB7">
        <w:trPr>
          <w:trHeight w:val="1295"/>
        </w:trPr>
        <w:tc>
          <w:tcPr>
            <w:tcW w:w="4158" w:type="dxa"/>
            <w:shd w:val="clear" w:color="auto" w:fill="FDE9D9" w:themeFill="accent6" w:themeFillTint="33"/>
          </w:tcPr>
          <w:p w:rsidR="00C507B5" w:rsidRPr="00B50E10" w:rsidRDefault="00C507B5" w:rsidP="00C507B5">
            <w:pPr>
              <w:rPr>
                <w:b/>
              </w:rPr>
            </w:pPr>
            <w:r w:rsidRPr="00B50E10">
              <w:rPr>
                <w:b/>
              </w:rPr>
              <w:t>Systems-based Practice</w:t>
            </w:r>
          </w:p>
          <w:p w:rsidR="00C507B5" w:rsidRPr="00B50E10" w:rsidRDefault="000C6D5F" w:rsidP="00C507B5">
            <w:pPr>
              <w:rPr>
                <w:b/>
              </w:rPr>
            </w:pPr>
            <w:r>
              <w:t>Improves patient outcomes and promotes efficiency by making decisions based on best evidence of outcomes, and by involvement in quality initiatives.</w:t>
            </w:r>
          </w:p>
        </w:tc>
        <w:tc>
          <w:tcPr>
            <w:tcW w:w="9450" w:type="dxa"/>
            <w:shd w:val="clear" w:color="auto" w:fill="FDE9D9" w:themeFill="accent6" w:themeFillTint="33"/>
          </w:tcPr>
          <w:p w:rsidR="00C507B5" w:rsidRDefault="00DB7651" w:rsidP="00C507B5">
            <w:r>
              <w:t xml:space="preserve">The resident </w:t>
            </w:r>
            <w:r w:rsidR="003F7C45">
              <w:t xml:space="preserve">will </w:t>
            </w:r>
            <w:r>
              <w:t>continue to develop a systems-based practice by:</w:t>
            </w:r>
          </w:p>
          <w:p w:rsidR="00DB7651" w:rsidRDefault="00DB7651" w:rsidP="00DB7651">
            <w:pPr>
              <w:pStyle w:val="ListParagraph"/>
              <w:numPr>
                <w:ilvl w:val="0"/>
                <w:numId w:val="12"/>
              </w:numPr>
            </w:pPr>
            <w:r>
              <w:t>Participating in laboratory quality control and quality assurance projects related to current assays</w:t>
            </w:r>
            <w:r w:rsidR="003F7C45">
              <w:t>,</w:t>
            </w:r>
            <w:r>
              <w:t xml:space="preserve"> or the validation and implementation of new assays.</w:t>
            </w:r>
          </w:p>
          <w:p w:rsidR="00DB7651" w:rsidRPr="00B50E10" w:rsidRDefault="00DB7651" w:rsidP="00DB7651">
            <w:pPr>
              <w:pStyle w:val="ListParagraph"/>
              <w:numPr>
                <w:ilvl w:val="0"/>
                <w:numId w:val="12"/>
              </w:numPr>
            </w:pPr>
            <w:r>
              <w:t>Serving as a mentor for any junior resident on service to impart their knowledge of the laboratory and the role of the laboratory in medical decision making.</w:t>
            </w:r>
          </w:p>
          <w:p w:rsidR="00C507B5" w:rsidRPr="00B50E10" w:rsidRDefault="00C507B5" w:rsidP="004501D9">
            <w:pPr>
              <w:pStyle w:val="ListParagraph"/>
            </w:pPr>
          </w:p>
        </w:tc>
      </w:tr>
    </w:tbl>
    <w:p w:rsidR="00AF0AD9" w:rsidRPr="00B50E10" w:rsidRDefault="00AF0AD9"/>
    <w:p w:rsidR="003F7C45" w:rsidRDefault="003F7C45">
      <w:pPr>
        <w:rPr>
          <w:b/>
        </w:rPr>
      </w:pPr>
    </w:p>
    <w:p w:rsidR="003F7C45" w:rsidRDefault="003F7C45">
      <w:pPr>
        <w:rPr>
          <w:b/>
        </w:rPr>
      </w:pPr>
    </w:p>
    <w:p w:rsidR="00DB4E37" w:rsidRPr="007E65DA" w:rsidRDefault="001B790E" w:rsidP="007E65DA">
      <w:r w:rsidRPr="00B50E10">
        <w:rPr>
          <w:b/>
        </w:rPr>
        <w:t>Plan</w:t>
      </w:r>
      <w:r w:rsidR="00AB451A" w:rsidRPr="00B50E10">
        <w:rPr>
          <w:b/>
        </w:rPr>
        <w:t xml:space="preserve"> for Training</w:t>
      </w:r>
    </w:p>
    <w:p w:rsidR="007E65DA" w:rsidRDefault="00DB4E37" w:rsidP="00DB4E37">
      <w:pPr>
        <w:jc w:val="both"/>
        <w:rPr>
          <w:b/>
          <w:bCs/>
          <w:sz w:val="24"/>
          <w:szCs w:val="24"/>
        </w:rPr>
      </w:pPr>
      <w:r w:rsidRPr="00D911A4">
        <w:rPr>
          <w:b/>
          <w:bCs/>
          <w:sz w:val="24"/>
          <w:szCs w:val="24"/>
        </w:rPr>
        <w:lastRenderedPageBreak/>
        <w:t xml:space="preserve">GOALS </w:t>
      </w:r>
    </w:p>
    <w:p w:rsidR="00DB4E37" w:rsidRPr="00D911A4" w:rsidRDefault="00DB4E37" w:rsidP="00DB4E37">
      <w:pPr>
        <w:jc w:val="both"/>
        <w:rPr>
          <w:sz w:val="24"/>
          <w:szCs w:val="24"/>
        </w:rPr>
      </w:pPr>
      <w:r w:rsidRPr="00D911A4">
        <w:rPr>
          <w:sz w:val="24"/>
          <w:szCs w:val="24"/>
        </w:rPr>
        <w:t xml:space="preserve">The overall goal of this rotation is to familiarize the trainee with the fundamentals and principles of molecular biology, nucleic acid biology, </w:t>
      </w:r>
      <w:proofErr w:type="gramStart"/>
      <w:r w:rsidRPr="00D911A4">
        <w:rPr>
          <w:sz w:val="24"/>
          <w:szCs w:val="24"/>
        </w:rPr>
        <w:t>the</w:t>
      </w:r>
      <w:proofErr w:type="gramEnd"/>
      <w:r w:rsidRPr="00D911A4">
        <w:rPr>
          <w:sz w:val="24"/>
          <w:szCs w:val="24"/>
        </w:rPr>
        <w:t xml:space="preserve"> genetics of inherited diseases, cancer genetics and nucleic acid technology relevant to the rapidly evolving practice of Molecular Pathology.</w:t>
      </w:r>
    </w:p>
    <w:p w:rsidR="00DB4E37" w:rsidRPr="00D911A4" w:rsidRDefault="00DB4E37" w:rsidP="00DB4E37">
      <w:pPr>
        <w:jc w:val="both"/>
        <w:rPr>
          <w:sz w:val="24"/>
          <w:szCs w:val="24"/>
        </w:rPr>
      </w:pPr>
    </w:p>
    <w:p w:rsidR="00DB4E37" w:rsidRPr="00D911A4" w:rsidRDefault="007E65DA" w:rsidP="00DB4E37">
      <w:pPr>
        <w:jc w:val="both"/>
        <w:rPr>
          <w:sz w:val="24"/>
          <w:szCs w:val="24"/>
        </w:rPr>
      </w:pPr>
      <w:r>
        <w:rPr>
          <w:sz w:val="24"/>
          <w:szCs w:val="24"/>
        </w:rPr>
        <w:t>Guidelines for training and resident expectations:</w:t>
      </w:r>
    </w:p>
    <w:p w:rsidR="00DB4E37" w:rsidRPr="00D911A4" w:rsidRDefault="00DB4E37" w:rsidP="00DB4E37">
      <w:pPr>
        <w:numPr>
          <w:ilvl w:val="0"/>
          <w:numId w:val="16"/>
        </w:numPr>
        <w:spacing w:after="0" w:line="240" w:lineRule="auto"/>
        <w:jc w:val="both"/>
        <w:rPr>
          <w:sz w:val="24"/>
          <w:szCs w:val="24"/>
        </w:rPr>
      </w:pPr>
      <w:r w:rsidRPr="00D911A4">
        <w:rPr>
          <w:b/>
          <w:bCs/>
          <w:sz w:val="24"/>
          <w:szCs w:val="24"/>
        </w:rPr>
        <w:t>Didactic</w:t>
      </w:r>
      <w:r w:rsidRPr="00D911A4">
        <w:rPr>
          <w:sz w:val="24"/>
          <w:szCs w:val="24"/>
        </w:rPr>
        <w:t>:  Lectures will review principles of nucleic acid biochemistry and molecular biology relevant to an understanding of modern clinical and anatomic pathology.  Topics will include basic nucleic acid structure and function, overview of gene expression and regulation, molecular basis of human genetic disease, genetic mechanisms of neoplasia, and molecular basis of pathogen identification and resistance typing.  These broad conceptual areas will be reviewed generally, allowing the resident to assess individual background competencies in molecular biology.  Assigned reading and problems will help the resident expand general molecular competencies.  Disease oriented lectures will cover topics relevant to the practice of molecular pathology, emphasizing laboratory diagnosis and disease management.  In parallel, the resident will be expected to get familiarized with the technologies underlying modern molecular testing.</w:t>
      </w:r>
    </w:p>
    <w:p w:rsidR="00DB4E37" w:rsidRPr="00D911A4" w:rsidRDefault="00DB4E37" w:rsidP="00DB4E37">
      <w:pPr>
        <w:jc w:val="both"/>
        <w:rPr>
          <w:sz w:val="24"/>
          <w:szCs w:val="24"/>
        </w:rPr>
      </w:pPr>
    </w:p>
    <w:p w:rsidR="00DB4E37" w:rsidRPr="00D911A4" w:rsidRDefault="00DB4E37" w:rsidP="00DB4E37">
      <w:pPr>
        <w:numPr>
          <w:ilvl w:val="0"/>
          <w:numId w:val="16"/>
        </w:numPr>
        <w:spacing w:after="0" w:line="240" w:lineRule="auto"/>
        <w:jc w:val="both"/>
        <w:rPr>
          <w:sz w:val="24"/>
          <w:szCs w:val="24"/>
        </w:rPr>
      </w:pPr>
      <w:r w:rsidRPr="00D911A4">
        <w:rPr>
          <w:b/>
          <w:bCs/>
          <w:sz w:val="24"/>
          <w:szCs w:val="24"/>
        </w:rPr>
        <w:t>Research</w:t>
      </w:r>
      <w:r w:rsidRPr="00D911A4">
        <w:rPr>
          <w:sz w:val="24"/>
          <w:szCs w:val="24"/>
        </w:rPr>
        <w:t>:  A research topic (literature review) will be chosen by the resident and presented as a formal seminar at the end of the rotation.   The resident will focus on a single area of clinical molecular testing and critically examine the impact on diagnosis and disease management.</w:t>
      </w:r>
    </w:p>
    <w:p w:rsidR="00DB4E37" w:rsidRPr="00D911A4" w:rsidRDefault="00DB4E37" w:rsidP="00DB4E37">
      <w:pPr>
        <w:jc w:val="both"/>
        <w:rPr>
          <w:sz w:val="24"/>
          <w:szCs w:val="24"/>
        </w:rPr>
      </w:pPr>
    </w:p>
    <w:p w:rsidR="00DB4E37" w:rsidRPr="00D911A4" w:rsidRDefault="00DB4E37" w:rsidP="00DB4E37">
      <w:pPr>
        <w:numPr>
          <w:ilvl w:val="0"/>
          <w:numId w:val="16"/>
        </w:numPr>
        <w:spacing w:after="0" w:line="240" w:lineRule="auto"/>
        <w:jc w:val="both"/>
        <w:rPr>
          <w:b/>
          <w:bCs/>
          <w:sz w:val="24"/>
          <w:szCs w:val="24"/>
        </w:rPr>
      </w:pPr>
      <w:r w:rsidRPr="00D911A4">
        <w:rPr>
          <w:b/>
          <w:bCs/>
          <w:sz w:val="24"/>
          <w:szCs w:val="24"/>
        </w:rPr>
        <w:t>Pre-test</w:t>
      </w:r>
      <w:r w:rsidRPr="00D911A4">
        <w:rPr>
          <w:sz w:val="24"/>
          <w:szCs w:val="24"/>
        </w:rPr>
        <w:t>:</w:t>
      </w:r>
      <w:r w:rsidRPr="00D911A4">
        <w:rPr>
          <w:b/>
          <w:bCs/>
          <w:sz w:val="24"/>
          <w:szCs w:val="24"/>
        </w:rPr>
        <w:t xml:space="preserve"> </w:t>
      </w:r>
      <w:r w:rsidRPr="00D911A4">
        <w:rPr>
          <w:sz w:val="24"/>
          <w:szCs w:val="24"/>
        </w:rPr>
        <w:t>An assessment of the resident’s level of knowledge will be performed at the beginning of the rotation.</w:t>
      </w:r>
    </w:p>
    <w:p w:rsidR="00DB4E37" w:rsidRPr="00D911A4" w:rsidRDefault="00DB4E37" w:rsidP="00DB4E37">
      <w:pPr>
        <w:jc w:val="both"/>
        <w:rPr>
          <w:sz w:val="24"/>
          <w:szCs w:val="24"/>
        </w:rPr>
      </w:pPr>
    </w:p>
    <w:p w:rsidR="00DB4E37" w:rsidRPr="00D911A4" w:rsidRDefault="00DB4E37" w:rsidP="00DB4E37">
      <w:pPr>
        <w:numPr>
          <w:ilvl w:val="0"/>
          <w:numId w:val="16"/>
        </w:numPr>
        <w:spacing w:after="0" w:line="240" w:lineRule="auto"/>
        <w:jc w:val="both"/>
        <w:rPr>
          <w:b/>
          <w:bCs/>
          <w:sz w:val="24"/>
          <w:szCs w:val="24"/>
        </w:rPr>
      </w:pPr>
      <w:r w:rsidRPr="00D911A4">
        <w:rPr>
          <w:b/>
          <w:bCs/>
          <w:sz w:val="24"/>
          <w:szCs w:val="24"/>
        </w:rPr>
        <w:t>Post</w:t>
      </w:r>
      <w:r w:rsidRPr="00D911A4">
        <w:rPr>
          <w:sz w:val="24"/>
          <w:szCs w:val="24"/>
        </w:rPr>
        <w:t>-</w:t>
      </w:r>
      <w:r w:rsidRPr="00D911A4">
        <w:rPr>
          <w:b/>
          <w:bCs/>
          <w:sz w:val="24"/>
          <w:szCs w:val="24"/>
        </w:rPr>
        <w:t>test</w:t>
      </w:r>
      <w:r w:rsidRPr="00D911A4">
        <w:rPr>
          <w:sz w:val="24"/>
          <w:szCs w:val="24"/>
        </w:rPr>
        <w:t>: A test covering aptitude in material similar to that administered in the Pre-test will be given at the end of the rotation to determine the effectiveness of the learning experience.</w:t>
      </w:r>
    </w:p>
    <w:p w:rsidR="00DB4E37" w:rsidRPr="00D911A4" w:rsidRDefault="00DB4E37" w:rsidP="00DB4E37">
      <w:pPr>
        <w:jc w:val="both"/>
        <w:rPr>
          <w:sz w:val="24"/>
          <w:szCs w:val="24"/>
        </w:rPr>
      </w:pPr>
    </w:p>
    <w:p w:rsidR="00DB4E37" w:rsidRPr="00D911A4" w:rsidRDefault="00DB4E37" w:rsidP="00DB4E37">
      <w:pPr>
        <w:jc w:val="both"/>
        <w:rPr>
          <w:sz w:val="24"/>
          <w:szCs w:val="24"/>
        </w:rPr>
      </w:pPr>
    </w:p>
    <w:p w:rsidR="00DB4E37" w:rsidRPr="00D911A4" w:rsidRDefault="00DB4E37" w:rsidP="00DB4E37">
      <w:pPr>
        <w:jc w:val="both"/>
        <w:rPr>
          <w:b/>
          <w:bCs/>
          <w:sz w:val="24"/>
          <w:szCs w:val="24"/>
        </w:rPr>
      </w:pPr>
      <w:r w:rsidRPr="00D911A4">
        <w:rPr>
          <w:b/>
          <w:bCs/>
          <w:sz w:val="24"/>
          <w:szCs w:val="24"/>
        </w:rPr>
        <w:t xml:space="preserve">DUTIES </w:t>
      </w:r>
      <w:smartTag w:uri="urn:schemas-microsoft-com:office:smarttags" w:element="stockticker">
        <w:r w:rsidRPr="00D911A4">
          <w:rPr>
            <w:b/>
            <w:bCs/>
            <w:sz w:val="24"/>
            <w:szCs w:val="24"/>
          </w:rPr>
          <w:t>AND</w:t>
        </w:r>
      </w:smartTag>
      <w:r w:rsidRPr="00D911A4">
        <w:rPr>
          <w:b/>
          <w:bCs/>
          <w:sz w:val="24"/>
          <w:szCs w:val="24"/>
        </w:rPr>
        <w:t xml:space="preserve"> RESPONSIBILITIES OF RESIDENTS</w:t>
      </w:r>
    </w:p>
    <w:p w:rsidR="00DB4E37" w:rsidRPr="00D911A4" w:rsidRDefault="00DB4E37" w:rsidP="00DB4E37">
      <w:pPr>
        <w:jc w:val="both"/>
        <w:rPr>
          <w:sz w:val="24"/>
          <w:szCs w:val="24"/>
        </w:rPr>
      </w:pPr>
    </w:p>
    <w:p w:rsidR="00DB4E37" w:rsidRPr="00D911A4" w:rsidRDefault="00DB4E37" w:rsidP="00DB4E37">
      <w:pPr>
        <w:numPr>
          <w:ilvl w:val="0"/>
          <w:numId w:val="17"/>
        </w:numPr>
        <w:spacing w:after="0" w:line="240" w:lineRule="auto"/>
        <w:jc w:val="both"/>
        <w:rPr>
          <w:sz w:val="24"/>
          <w:szCs w:val="24"/>
        </w:rPr>
      </w:pPr>
      <w:r w:rsidRPr="00D911A4">
        <w:rPr>
          <w:sz w:val="24"/>
          <w:szCs w:val="24"/>
        </w:rPr>
        <w:t>The resident is expected to attend and participate actively in all lectures.</w:t>
      </w:r>
    </w:p>
    <w:p w:rsidR="00DB4E37" w:rsidRPr="00D911A4" w:rsidRDefault="00DB4E37" w:rsidP="00DB4E37">
      <w:pPr>
        <w:numPr>
          <w:ilvl w:val="0"/>
          <w:numId w:val="17"/>
        </w:numPr>
        <w:spacing w:after="0" w:line="240" w:lineRule="auto"/>
        <w:jc w:val="both"/>
        <w:rPr>
          <w:sz w:val="24"/>
          <w:szCs w:val="24"/>
        </w:rPr>
      </w:pPr>
      <w:r w:rsidRPr="00D911A4">
        <w:rPr>
          <w:sz w:val="24"/>
          <w:szCs w:val="24"/>
        </w:rPr>
        <w:t xml:space="preserve">The resident is expected to attend continuing education program at the Molecular Diagnostics Laboratory at </w:t>
      </w:r>
      <w:proofErr w:type="spellStart"/>
      <w:r w:rsidRPr="00D911A4">
        <w:rPr>
          <w:sz w:val="24"/>
          <w:szCs w:val="24"/>
        </w:rPr>
        <w:t>Traverwood</w:t>
      </w:r>
      <w:proofErr w:type="spellEnd"/>
      <w:r w:rsidRPr="00D911A4">
        <w:rPr>
          <w:sz w:val="24"/>
          <w:szCs w:val="24"/>
        </w:rPr>
        <w:t>, and other additional seminars and lectures related to molecular pathology as applicable.</w:t>
      </w:r>
    </w:p>
    <w:p w:rsidR="00DB4E37" w:rsidRPr="00D911A4" w:rsidRDefault="00DB4E37" w:rsidP="00DB4E37">
      <w:pPr>
        <w:numPr>
          <w:ilvl w:val="0"/>
          <w:numId w:val="17"/>
        </w:numPr>
        <w:spacing w:after="0" w:line="240" w:lineRule="auto"/>
        <w:jc w:val="both"/>
        <w:rPr>
          <w:sz w:val="24"/>
          <w:szCs w:val="24"/>
        </w:rPr>
      </w:pPr>
      <w:r w:rsidRPr="00D911A4">
        <w:rPr>
          <w:sz w:val="24"/>
          <w:szCs w:val="24"/>
        </w:rPr>
        <w:t>The resident is expected to complete all reading and problem assignments.</w:t>
      </w:r>
    </w:p>
    <w:p w:rsidR="00DB4E37" w:rsidRPr="00D911A4" w:rsidRDefault="00DB4E37" w:rsidP="00DB4E37">
      <w:pPr>
        <w:numPr>
          <w:ilvl w:val="0"/>
          <w:numId w:val="17"/>
        </w:numPr>
        <w:spacing w:after="0" w:line="240" w:lineRule="auto"/>
        <w:jc w:val="both"/>
        <w:rPr>
          <w:sz w:val="24"/>
          <w:szCs w:val="24"/>
        </w:rPr>
      </w:pPr>
      <w:r w:rsidRPr="00D911A4">
        <w:rPr>
          <w:sz w:val="24"/>
          <w:szCs w:val="24"/>
        </w:rPr>
        <w:t>The resident is expected to participate in molecular case sign-outs as assigned by the faculty.</w:t>
      </w:r>
      <w:r w:rsidRPr="00524626">
        <w:rPr>
          <w:sz w:val="24"/>
          <w:szCs w:val="24"/>
        </w:rPr>
        <w:t xml:space="preserve"> </w:t>
      </w:r>
    </w:p>
    <w:p w:rsidR="00DB4E37" w:rsidRPr="00D911A4" w:rsidRDefault="00DB4E37" w:rsidP="00DB4E37">
      <w:pPr>
        <w:numPr>
          <w:ilvl w:val="0"/>
          <w:numId w:val="17"/>
        </w:numPr>
        <w:spacing w:after="0" w:line="240" w:lineRule="auto"/>
        <w:jc w:val="both"/>
        <w:rPr>
          <w:sz w:val="24"/>
          <w:szCs w:val="24"/>
        </w:rPr>
      </w:pPr>
      <w:r>
        <w:rPr>
          <w:sz w:val="24"/>
          <w:szCs w:val="24"/>
        </w:rPr>
        <w:t>The resident is expected to assist in daily H&amp;E review of specimens submitted for AP-molecular testing.</w:t>
      </w:r>
    </w:p>
    <w:p w:rsidR="00DB4E37" w:rsidRDefault="00DB4E37" w:rsidP="00DB4E37">
      <w:pPr>
        <w:numPr>
          <w:ilvl w:val="0"/>
          <w:numId w:val="17"/>
        </w:numPr>
        <w:spacing w:after="0" w:line="240" w:lineRule="auto"/>
        <w:jc w:val="both"/>
        <w:rPr>
          <w:sz w:val="24"/>
          <w:szCs w:val="24"/>
        </w:rPr>
      </w:pPr>
      <w:r w:rsidRPr="00D911A4">
        <w:rPr>
          <w:sz w:val="24"/>
          <w:szCs w:val="24"/>
        </w:rPr>
        <w:t>The resident is expected to conduct a journal club wherein the resident performs critical review of a published paper in Molecular Pathology. This will be presented to members of the literature review of a salient topic in molecular genetic pathology and present a formal seminar based on this research.</w:t>
      </w:r>
    </w:p>
    <w:p w:rsidR="00DB4E37" w:rsidRDefault="00DB4E37" w:rsidP="00DB4E37">
      <w:pPr>
        <w:jc w:val="both"/>
        <w:rPr>
          <w:sz w:val="24"/>
          <w:szCs w:val="24"/>
        </w:rPr>
      </w:pPr>
    </w:p>
    <w:p w:rsidR="007E65DA" w:rsidRPr="00B50E10" w:rsidRDefault="007E65DA" w:rsidP="007E65DA">
      <w:pPr>
        <w:rPr>
          <w:b/>
        </w:rPr>
      </w:pPr>
      <w:r w:rsidRPr="00B50E10">
        <w:rPr>
          <w:b/>
        </w:rPr>
        <w:t>Supervision</w:t>
      </w:r>
    </w:p>
    <w:p w:rsidR="007E65DA" w:rsidRDefault="007E65DA" w:rsidP="007E65DA">
      <w:r w:rsidRPr="00B50E10">
        <w:t xml:space="preserve">The following activities are to be conducted with </w:t>
      </w:r>
      <w:r w:rsidRPr="00B50E10">
        <w:rPr>
          <w:b/>
        </w:rPr>
        <w:t>Direct Supervision</w:t>
      </w:r>
      <w:r w:rsidRPr="00B50E10">
        <w:t xml:space="preserve"> (the supervising physician is physically present with the resident):</w:t>
      </w:r>
    </w:p>
    <w:p w:rsidR="007E65DA" w:rsidRDefault="007E65DA" w:rsidP="007E65DA">
      <w:pPr>
        <w:ind w:left="720"/>
      </w:pPr>
      <w:r>
        <w:t>Interpretation of completed molecular assays performed with the attending faculty.</w:t>
      </w:r>
    </w:p>
    <w:p w:rsidR="007E65DA" w:rsidRDefault="007E65DA" w:rsidP="007E65DA">
      <w:r>
        <w:t xml:space="preserve">The following activities are to be conducted with </w:t>
      </w:r>
      <w:r w:rsidRPr="007E65DA">
        <w:rPr>
          <w:b/>
        </w:rPr>
        <w:t>Indirect Supervision</w:t>
      </w:r>
      <w:r>
        <w:t>:</w:t>
      </w:r>
    </w:p>
    <w:p w:rsidR="007E65DA" w:rsidRDefault="007E65DA" w:rsidP="007E65DA">
      <w:r>
        <w:tab/>
        <w:t>Consultative activities</w:t>
      </w:r>
    </w:p>
    <w:p w:rsidR="007E65DA" w:rsidRDefault="007E65DA" w:rsidP="007E65DA">
      <w:r>
        <w:t xml:space="preserve">The following activities are to be conducted with </w:t>
      </w:r>
      <w:r w:rsidRPr="007E65DA">
        <w:rPr>
          <w:b/>
        </w:rPr>
        <w:t>Oversight</w:t>
      </w:r>
      <w:r>
        <w:t>:</w:t>
      </w:r>
    </w:p>
    <w:p w:rsidR="007E65DA" w:rsidRDefault="007E65DA" w:rsidP="007E65DA">
      <w:r>
        <w:tab/>
        <w:t>Reading and other learning assignments, preparation of Journal Club, Research, and CP Case presentations</w:t>
      </w:r>
    </w:p>
    <w:p w:rsidR="007E65DA" w:rsidRDefault="007E65DA" w:rsidP="007E65DA">
      <w:r>
        <w:tab/>
      </w:r>
    </w:p>
    <w:p w:rsidR="00DB4E37" w:rsidRPr="00D911A4" w:rsidRDefault="00DB4E37" w:rsidP="00DB4E37">
      <w:pPr>
        <w:jc w:val="both"/>
        <w:rPr>
          <w:sz w:val="24"/>
          <w:szCs w:val="24"/>
        </w:rPr>
      </w:pPr>
    </w:p>
    <w:p w:rsidR="00DB4E37" w:rsidRPr="00D911A4" w:rsidRDefault="00DB4E37" w:rsidP="00DB4E37">
      <w:pPr>
        <w:jc w:val="both"/>
        <w:rPr>
          <w:b/>
          <w:bCs/>
          <w:sz w:val="24"/>
          <w:szCs w:val="24"/>
        </w:rPr>
      </w:pPr>
      <w:r w:rsidRPr="00D911A4">
        <w:rPr>
          <w:b/>
          <w:bCs/>
          <w:sz w:val="24"/>
          <w:szCs w:val="24"/>
        </w:rPr>
        <w:lastRenderedPageBreak/>
        <w:t>TEACHING STAFF RESPONSIBLE FOR SUPERVISION</w:t>
      </w:r>
    </w:p>
    <w:p w:rsidR="00DB4E37" w:rsidRPr="00D911A4" w:rsidRDefault="00DB4E37" w:rsidP="00DB4E37">
      <w:pPr>
        <w:jc w:val="both"/>
        <w:rPr>
          <w:sz w:val="24"/>
          <w:szCs w:val="24"/>
        </w:rPr>
      </w:pPr>
      <w:r w:rsidRPr="00D911A4">
        <w:rPr>
          <w:sz w:val="24"/>
          <w:szCs w:val="24"/>
        </w:rPr>
        <w:t>The resident will be evaluated based on attendance, interaction with professional and ancillary staff, problem solving, and conference presentation.</w:t>
      </w:r>
    </w:p>
    <w:p w:rsidR="00DB4E37" w:rsidRPr="00D911A4" w:rsidRDefault="00DB4E37" w:rsidP="00DB4E37">
      <w:pPr>
        <w:jc w:val="both"/>
        <w:rPr>
          <w:sz w:val="24"/>
          <w:szCs w:val="24"/>
        </w:rPr>
      </w:pPr>
    </w:p>
    <w:p w:rsidR="00DB4E37" w:rsidRPr="00D911A4" w:rsidRDefault="00DB4E37" w:rsidP="00DB4E37">
      <w:pPr>
        <w:ind w:left="720"/>
        <w:jc w:val="both"/>
        <w:rPr>
          <w:sz w:val="24"/>
          <w:szCs w:val="24"/>
        </w:rPr>
      </w:pPr>
      <w:r w:rsidRPr="00D911A4">
        <w:rPr>
          <w:sz w:val="24"/>
          <w:szCs w:val="24"/>
        </w:rPr>
        <w:t>Kojo S. J. Elenitoba-Johnson,, MD, Professor</w:t>
      </w:r>
    </w:p>
    <w:p w:rsidR="00DB4E37" w:rsidRPr="00D911A4" w:rsidRDefault="00DB4E37" w:rsidP="00DB4E37">
      <w:pPr>
        <w:ind w:left="720"/>
        <w:jc w:val="both"/>
        <w:rPr>
          <w:sz w:val="24"/>
          <w:szCs w:val="24"/>
        </w:rPr>
      </w:pPr>
      <w:r w:rsidRPr="00D911A4">
        <w:rPr>
          <w:sz w:val="24"/>
          <w:szCs w:val="24"/>
        </w:rPr>
        <w:t>Thomas E. Wilson, MD, PhD. Associate Professor</w:t>
      </w:r>
    </w:p>
    <w:p w:rsidR="00DB4E37" w:rsidRPr="00D911A4" w:rsidRDefault="00DB4E37" w:rsidP="00DB4E37">
      <w:pPr>
        <w:ind w:left="720"/>
        <w:jc w:val="both"/>
        <w:rPr>
          <w:sz w:val="24"/>
          <w:szCs w:val="24"/>
        </w:rPr>
      </w:pPr>
      <w:r w:rsidRPr="00D911A4">
        <w:rPr>
          <w:sz w:val="24"/>
          <w:szCs w:val="24"/>
        </w:rPr>
        <w:t>Jeff Warren, M.D. Professor</w:t>
      </w:r>
    </w:p>
    <w:p w:rsidR="00DB4E37" w:rsidRPr="00D911A4" w:rsidRDefault="00DB4E37" w:rsidP="00DB4E37">
      <w:pPr>
        <w:ind w:left="720"/>
        <w:jc w:val="both"/>
        <w:rPr>
          <w:sz w:val="24"/>
          <w:szCs w:val="24"/>
        </w:rPr>
      </w:pPr>
      <w:r w:rsidRPr="00D911A4">
        <w:rPr>
          <w:sz w:val="24"/>
          <w:szCs w:val="24"/>
        </w:rPr>
        <w:t>Megan Lim, MD, Ph.D. Associate Professor</w:t>
      </w:r>
    </w:p>
    <w:p w:rsidR="00DB4E37" w:rsidRPr="00D911A4" w:rsidRDefault="00DB4E37" w:rsidP="00DB4E37">
      <w:pPr>
        <w:ind w:left="720"/>
        <w:jc w:val="both"/>
        <w:rPr>
          <w:sz w:val="24"/>
          <w:szCs w:val="24"/>
        </w:rPr>
      </w:pPr>
      <w:r w:rsidRPr="00D911A4">
        <w:rPr>
          <w:sz w:val="24"/>
          <w:szCs w:val="24"/>
        </w:rPr>
        <w:t xml:space="preserve">Ram </w:t>
      </w:r>
      <w:proofErr w:type="spellStart"/>
      <w:r w:rsidRPr="00D911A4">
        <w:rPr>
          <w:sz w:val="24"/>
          <w:szCs w:val="24"/>
        </w:rPr>
        <w:t>Iyer</w:t>
      </w:r>
      <w:proofErr w:type="spellEnd"/>
      <w:r w:rsidRPr="00D911A4">
        <w:rPr>
          <w:sz w:val="24"/>
          <w:szCs w:val="24"/>
        </w:rPr>
        <w:t>, Ph.D. Assistant Professor</w:t>
      </w:r>
    </w:p>
    <w:p w:rsidR="00DB4E37" w:rsidRPr="00D911A4" w:rsidRDefault="00DB4E37" w:rsidP="00DB4E37">
      <w:pPr>
        <w:pStyle w:val="BodyTextIndent"/>
        <w:jc w:val="both"/>
        <w:rPr>
          <w:sz w:val="24"/>
          <w:szCs w:val="24"/>
        </w:rPr>
      </w:pPr>
      <w:r w:rsidRPr="00D911A4">
        <w:rPr>
          <w:sz w:val="24"/>
          <w:szCs w:val="24"/>
        </w:rPr>
        <w:t xml:space="preserve">Bryan Betz, PhD Assistant Professor </w:t>
      </w:r>
    </w:p>
    <w:p w:rsidR="00DB4E37" w:rsidRDefault="00DB4E37" w:rsidP="00DB4E37">
      <w:pPr>
        <w:ind w:left="720"/>
        <w:jc w:val="both"/>
        <w:rPr>
          <w:sz w:val="24"/>
          <w:szCs w:val="24"/>
        </w:rPr>
      </w:pPr>
      <w:r w:rsidRPr="00D911A4">
        <w:rPr>
          <w:sz w:val="24"/>
          <w:szCs w:val="24"/>
        </w:rPr>
        <w:t>David Ferguson, MD, PhD. Assistant Professor</w:t>
      </w:r>
    </w:p>
    <w:p w:rsidR="00DB4E37" w:rsidRPr="00D911A4" w:rsidRDefault="00DB4E37" w:rsidP="00DB4E37">
      <w:pPr>
        <w:ind w:left="720"/>
        <w:jc w:val="both"/>
        <w:rPr>
          <w:sz w:val="24"/>
          <w:szCs w:val="24"/>
        </w:rPr>
      </w:pPr>
      <w:r>
        <w:rPr>
          <w:sz w:val="24"/>
          <w:szCs w:val="24"/>
        </w:rPr>
        <w:t>David Lombard, MD, PhD. Assistant Professor</w:t>
      </w:r>
    </w:p>
    <w:p w:rsidR="00DB4E37" w:rsidRDefault="00DB4E37" w:rsidP="00DB4E37"/>
    <w:p w:rsidR="001B790E" w:rsidRPr="005F6B3C" w:rsidRDefault="001B790E">
      <w:pPr>
        <w:rPr>
          <w:b/>
        </w:rPr>
      </w:pPr>
      <w:r w:rsidRPr="005F6B3C">
        <w:rPr>
          <w:b/>
        </w:rPr>
        <w:t>Evaluation</w:t>
      </w:r>
    </w:p>
    <w:p w:rsidR="009416A9" w:rsidRDefault="009416A9" w:rsidP="009416A9">
      <w:pPr>
        <w:pStyle w:val="ListParagraph"/>
        <w:numPr>
          <w:ilvl w:val="0"/>
          <w:numId w:val="11"/>
        </w:numPr>
      </w:pPr>
      <w:r w:rsidRPr="00B50E10">
        <w:t>Electronic (</w:t>
      </w:r>
      <w:proofErr w:type="spellStart"/>
      <w:r w:rsidRPr="00B50E10">
        <w:t>MedHub</w:t>
      </w:r>
      <w:proofErr w:type="spellEnd"/>
      <w:r w:rsidRPr="00B50E10">
        <w:t>) evaluation completed by faculty at the conclusion of each rotation</w:t>
      </w:r>
    </w:p>
    <w:p w:rsidR="007E65DA" w:rsidRPr="00B50E10" w:rsidRDefault="007E65DA" w:rsidP="009416A9">
      <w:pPr>
        <w:pStyle w:val="ListParagraph"/>
        <w:numPr>
          <w:ilvl w:val="0"/>
          <w:numId w:val="11"/>
        </w:numPr>
      </w:pPr>
      <w:r>
        <w:t>Pre- and Post-tests, as outlined above</w:t>
      </w:r>
    </w:p>
    <w:p w:rsidR="009416A9" w:rsidRPr="00B50E10" w:rsidRDefault="009416A9" w:rsidP="009416A9">
      <w:pPr>
        <w:pStyle w:val="ListParagraph"/>
        <w:numPr>
          <w:ilvl w:val="0"/>
          <w:numId w:val="11"/>
        </w:numPr>
      </w:pPr>
      <w:r w:rsidRPr="00B50E10">
        <w:t>360 evaluation completed by fellows and technical staff semi-annually</w:t>
      </w:r>
    </w:p>
    <w:p w:rsidR="009416A9" w:rsidRPr="00B50E10" w:rsidRDefault="009416A9" w:rsidP="009416A9">
      <w:pPr>
        <w:pStyle w:val="ListParagraph"/>
        <w:numPr>
          <w:ilvl w:val="0"/>
          <w:numId w:val="11"/>
        </w:numPr>
      </w:pPr>
      <w:r w:rsidRPr="00B50E10">
        <w:t>Resident Inservice Examination (annually)</w:t>
      </w:r>
    </w:p>
    <w:sectPr w:rsidR="009416A9" w:rsidRPr="00B50E10" w:rsidSect="006074A7">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71" w:rsidRDefault="00AF3F71" w:rsidP="00AF3F71">
      <w:pPr>
        <w:spacing w:after="0" w:line="240" w:lineRule="auto"/>
      </w:pPr>
      <w:r>
        <w:separator/>
      </w:r>
    </w:p>
  </w:endnote>
  <w:endnote w:type="continuationSeparator" w:id="0">
    <w:p w:rsidR="00AF3F71" w:rsidRDefault="00AF3F71" w:rsidP="00AF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71" w:rsidRDefault="00AF3F71">
    <w:pPr>
      <w:pStyle w:val="Footer"/>
    </w:pPr>
    <w:r>
      <w:t>6/16/2015</w:t>
    </w:r>
  </w:p>
  <w:p w:rsidR="00AF3F71" w:rsidRDefault="00AF3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71" w:rsidRDefault="00AF3F71" w:rsidP="00AF3F71">
      <w:pPr>
        <w:spacing w:after="0" w:line="240" w:lineRule="auto"/>
      </w:pPr>
      <w:r>
        <w:separator/>
      </w:r>
    </w:p>
  </w:footnote>
  <w:footnote w:type="continuationSeparator" w:id="0">
    <w:p w:rsidR="00AF3F71" w:rsidRDefault="00AF3F71" w:rsidP="00AF3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1262C"/>
    <w:multiLevelType w:val="hybridMultilevel"/>
    <w:tmpl w:val="DFD441A8"/>
    <w:lvl w:ilvl="0" w:tplc="3920FB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2E1641"/>
    <w:multiLevelType w:val="hybridMultilevel"/>
    <w:tmpl w:val="DDA6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E4DA7"/>
    <w:multiLevelType w:val="multilevel"/>
    <w:tmpl w:val="95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00844"/>
    <w:multiLevelType w:val="hybridMultilevel"/>
    <w:tmpl w:val="1960F804"/>
    <w:lvl w:ilvl="0" w:tplc="9B160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CE3C83"/>
    <w:multiLevelType w:val="hybridMultilevel"/>
    <w:tmpl w:val="6D5A9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B642A"/>
    <w:multiLevelType w:val="hybridMultilevel"/>
    <w:tmpl w:val="CE74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2719E"/>
    <w:multiLevelType w:val="hybridMultilevel"/>
    <w:tmpl w:val="1AD2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C44214"/>
    <w:multiLevelType w:val="hybridMultilevel"/>
    <w:tmpl w:val="926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54A76"/>
    <w:multiLevelType w:val="singleLevel"/>
    <w:tmpl w:val="95460758"/>
    <w:lvl w:ilvl="0">
      <w:start w:val="1"/>
      <w:numFmt w:val="decimal"/>
      <w:lvlText w:val="%1."/>
      <w:lvlJc w:val="left"/>
      <w:pPr>
        <w:tabs>
          <w:tab w:val="num" w:pos="360"/>
        </w:tabs>
        <w:ind w:left="360" w:hanging="360"/>
      </w:pPr>
      <w:rPr>
        <w:rFonts w:hint="default"/>
        <w:b w:val="0"/>
        <w:bCs w:val="0"/>
      </w:rPr>
    </w:lvl>
  </w:abstractNum>
  <w:abstractNum w:abstractNumId="14">
    <w:nsid w:val="5AA07484"/>
    <w:multiLevelType w:val="hybridMultilevel"/>
    <w:tmpl w:val="0A746BEC"/>
    <w:lvl w:ilvl="0" w:tplc="D500E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DE5CC9"/>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67E747BF"/>
    <w:multiLevelType w:val="hybridMultilevel"/>
    <w:tmpl w:val="4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35C6D"/>
    <w:multiLevelType w:val="hybridMultilevel"/>
    <w:tmpl w:val="6CBCD40C"/>
    <w:lvl w:ilvl="0" w:tplc="8DE87A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7A2F86"/>
    <w:multiLevelType w:val="hybridMultilevel"/>
    <w:tmpl w:val="25E07B82"/>
    <w:lvl w:ilvl="0" w:tplc="D3CE0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FD4B89"/>
    <w:multiLevelType w:val="hybridMultilevel"/>
    <w:tmpl w:val="36EC5236"/>
    <w:lvl w:ilvl="0" w:tplc="8DE87A6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925F7"/>
    <w:multiLevelType w:val="hybridMultilevel"/>
    <w:tmpl w:val="7DD4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AC0475"/>
    <w:multiLevelType w:val="hybridMultilevel"/>
    <w:tmpl w:val="719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9"/>
  </w:num>
  <w:num w:numId="4">
    <w:abstractNumId w:val="21"/>
  </w:num>
  <w:num w:numId="5">
    <w:abstractNumId w:val="8"/>
  </w:num>
  <w:num w:numId="6">
    <w:abstractNumId w:val="7"/>
  </w:num>
  <w:num w:numId="7">
    <w:abstractNumId w:val="4"/>
  </w:num>
  <w:num w:numId="8">
    <w:abstractNumId w:val="17"/>
  </w:num>
  <w:num w:numId="9">
    <w:abstractNumId w:val="15"/>
  </w:num>
  <w:num w:numId="10">
    <w:abstractNumId w:val="0"/>
  </w:num>
  <w:num w:numId="11">
    <w:abstractNumId w:val="2"/>
  </w:num>
  <w:num w:numId="12">
    <w:abstractNumId w:val="1"/>
  </w:num>
  <w:num w:numId="13">
    <w:abstractNumId w:val="19"/>
  </w:num>
  <w:num w:numId="14">
    <w:abstractNumId w:val="5"/>
  </w:num>
  <w:num w:numId="15">
    <w:abstractNumId w:val="14"/>
  </w:num>
  <w:num w:numId="16">
    <w:abstractNumId w:val="13"/>
  </w:num>
  <w:num w:numId="17">
    <w:abstractNumId w:val="16"/>
  </w:num>
  <w:num w:numId="18">
    <w:abstractNumId w:val="18"/>
  </w:num>
  <w:num w:numId="19">
    <w:abstractNumId w:val="6"/>
  </w:num>
  <w:num w:numId="20">
    <w:abstractNumId w:val="22"/>
  </w:num>
  <w:num w:numId="21">
    <w:abstractNumId w:val="3"/>
  </w:num>
  <w:num w:numId="22">
    <w:abstractNumId w:val="24"/>
  </w:num>
  <w:num w:numId="23">
    <w:abstractNumId w:val="20"/>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60F5B"/>
    <w:rsid w:val="000857CC"/>
    <w:rsid w:val="00095252"/>
    <w:rsid w:val="000C351A"/>
    <w:rsid w:val="000C45F2"/>
    <w:rsid w:val="000C6D5F"/>
    <w:rsid w:val="000E489F"/>
    <w:rsid w:val="001363FA"/>
    <w:rsid w:val="00165403"/>
    <w:rsid w:val="001677D3"/>
    <w:rsid w:val="00194828"/>
    <w:rsid w:val="001B790E"/>
    <w:rsid w:val="001F43C4"/>
    <w:rsid w:val="00234B6E"/>
    <w:rsid w:val="002958AA"/>
    <w:rsid w:val="002B2FDA"/>
    <w:rsid w:val="002D0A2B"/>
    <w:rsid w:val="002E0869"/>
    <w:rsid w:val="00347320"/>
    <w:rsid w:val="003E5339"/>
    <w:rsid w:val="003F48F7"/>
    <w:rsid w:val="003F7C45"/>
    <w:rsid w:val="00406A3A"/>
    <w:rsid w:val="004149D8"/>
    <w:rsid w:val="004501D9"/>
    <w:rsid w:val="0045234A"/>
    <w:rsid w:val="00470978"/>
    <w:rsid w:val="004A60B4"/>
    <w:rsid w:val="004E2DB5"/>
    <w:rsid w:val="00501B53"/>
    <w:rsid w:val="005201FF"/>
    <w:rsid w:val="0056544E"/>
    <w:rsid w:val="00580E09"/>
    <w:rsid w:val="00596B86"/>
    <w:rsid w:val="005A1A2C"/>
    <w:rsid w:val="005B1898"/>
    <w:rsid w:val="005D7DF6"/>
    <w:rsid w:val="005E2296"/>
    <w:rsid w:val="005F6B3C"/>
    <w:rsid w:val="006074A7"/>
    <w:rsid w:val="0062453D"/>
    <w:rsid w:val="00653FEE"/>
    <w:rsid w:val="00682586"/>
    <w:rsid w:val="00686894"/>
    <w:rsid w:val="006D11F0"/>
    <w:rsid w:val="006D77AA"/>
    <w:rsid w:val="006F34C0"/>
    <w:rsid w:val="00706E0E"/>
    <w:rsid w:val="00734B58"/>
    <w:rsid w:val="007514B9"/>
    <w:rsid w:val="007B4EC6"/>
    <w:rsid w:val="007E3E2B"/>
    <w:rsid w:val="007E65DA"/>
    <w:rsid w:val="00826FF9"/>
    <w:rsid w:val="00836203"/>
    <w:rsid w:val="00852EB4"/>
    <w:rsid w:val="00882A31"/>
    <w:rsid w:val="008861EA"/>
    <w:rsid w:val="008C6A4A"/>
    <w:rsid w:val="008D680F"/>
    <w:rsid w:val="008F364F"/>
    <w:rsid w:val="00915512"/>
    <w:rsid w:val="0091709D"/>
    <w:rsid w:val="009416A9"/>
    <w:rsid w:val="00972E97"/>
    <w:rsid w:val="00992BC9"/>
    <w:rsid w:val="009C4CE9"/>
    <w:rsid w:val="009F60A3"/>
    <w:rsid w:val="00A15DB7"/>
    <w:rsid w:val="00A320D6"/>
    <w:rsid w:val="00A40392"/>
    <w:rsid w:val="00A57348"/>
    <w:rsid w:val="00A61356"/>
    <w:rsid w:val="00AB451A"/>
    <w:rsid w:val="00AF0AD9"/>
    <w:rsid w:val="00AF3F71"/>
    <w:rsid w:val="00B20910"/>
    <w:rsid w:val="00B50E10"/>
    <w:rsid w:val="00B57E19"/>
    <w:rsid w:val="00B942C3"/>
    <w:rsid w:val="00BC4C11"/>
    <w:rsid w:val="00BD775C"/>
    <w:rsid w:val="00BF15D7"/>
    <w:rsid w:val="00BF78D0"/>
    <w:rsid w:val="00C507B5"/>
    <w:rsid w:val="00C75936"/>
    <w:rsid w:val="00CD493A"/>
    <w:rsid w:val="00CF3CB4"/>
    <w:rsid w:val="00CF57E4"/>
    <w:rsid w:val="00D10346"/>
    <w:rsid w:val="00D547BF"/>
    <w:rsid w:val="00D86449"/>
    <w:rsid w:val="00DB4E37"/>
    <w:rsid w:val="00DB7651"/>
    <w:rsid w:val="00DD2E26"/>
    <w:rsid w:val="00E55083"/>
    <w:rsid w:val="00E71082"/>
    <w:rsid w:val="00E83C1B"/>
    <w:rsid w:val="00EC344F"/>
    <w:rsid w:val="00EF23AD"/>
    <w:rsid w:val="00EF7214"/>
    <w:rsid w:val="00F57D4A"/>
    <w:rsid w:val="00F7647F"/>
    <w:rsid w:val="00F9196E"/>
    <w:rsid w:val="00FA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BodyTextIndent">
    <w:name w:val="Body Text Indent"/>
    <w:basedOn w:val="Normal"/>
    <w:link w:val="BodyTextIndentChar"/>
    <w:rsid w:val="00DB4E37"/>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B4E3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F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71"/>
  </w:style>
  <w:style w:type="paragraph" w:styleId="Footer">
    <w:name w:val="footer"/>
    <w:basedOn w:val="Normal"/>
    <w:link w:val="FooterChar"/>
    <w:uiPriority w:val="99"/>
    <w:unhideWhenUsed/>
    <w:rsid w:val="00AF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BodyTextIndent">
    <w:name w:val="Body Text Indent"/>
    <w:basedOn w:val="Normal"/>
    <w:link w:val="BodyTextIndentChar"/>
    <w:rsid w:val="00DB4E37"/>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B4E3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F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71"/>
  </w:style>
  <w:style w:type="paragraph" w:styleId="Footer">
    <w:name w:val="footer"/>
    <w:basedOn w:val="Normal"/>
    <w:link w:val="FooterChar"/>
    <w:uiPriority w:val="99"/>
    <w:unhideWhenUsed/>
    <w:rsid w:val="00AF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2DEA-DA47-4483-9C2B-80FDA2AF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4</cp:revision>
  <cp:lastPrinted>2011-05-26T19:30:00Z</cp:lastPrinted>
  <dcterms:created xsi:type="dcterms:W3CDTF">2015-06-15T19:54:00Z</dcterms:created>
  <dcterms:modified xsi:type="dcterms:W3CDTF">2015-06-16T18:40:00Z</dcterms:modified>
</cp:coreProperties>
</file>