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E6AE" w14:textId="77777777" w:rsidR="00E403A1" w:rsidRDefault="003E0285" w:rsidP="00DC3641">
      <w:pPr>
        <w:pStyle w:val="Normal0"/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ORAL CAVITY NEOPLASM</w:t>
      </w:r>
    </w:p>
    <w:p w14:paraId="263E86F7" w14:textId="77777777" w:rsidR="000E6AA5" w:rsidRPr="002005DC" w:rsidRDefault="000E6AA5" w:rsidP="00DC3641">
      <w:pPr>
        <w:pStyle w:val="Normal0"/>
        <w:widowControl w:val="0"/>
        <w:rPr>
          <w:color w:val="000000"/>
          <w:sz w:val="28"/>
          <w:szCs w:val="28"/>
        </w:rPr>
      </w:pPr>
    </w:p>
    <w:p w14:paraId="47CC7ED5" w14:textId="77777777" w:rsidR="00C9265F" w:rsidRPr="002005DC" w:rsidRDefault="00C9265F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Procedure</w:t>
      </w:r>
      <w:r w:rsidR="00CC72E2" w:rsidRPr="002005DC">
        <w:rPr>
          <w:color w:val="000000"/>
          <w:sz w:val="20"/>
          <w:szCs w:val="20"/>
        </w:rPr>
        <w:t xml:space="preserve">: </w:t>
      </w:r>
      <w:r w:rsidR="00CC72E2" w:rsidRPr="002005DC">
        <w:rPr>
          <w:color w:val="000000"/>
          <w:sz w:val="20"/>
          <w:szCs w:val="20"/>
        </w:rPr>
        <w:tab/>
      </w:r>
      <w:r w:rsidR="000E6AA5" w:rsidRPr="002005DC">
        <w:rPr>
          <w:color w:val="000000"/>
          <w:sz w:val="20"/>
          <w:szCs w:val="20"/>
        </w:rPr>
        <w:tab/>
      </w:r>
      <w:r w:rsidR="003E0285" w:rsidRPr="002005DC">
        <w:rPr>
          <w:color w:val="000000"/>
          <w:sz w:val="20"/>
          <w:szCs w:val="20"/>
        </w:rPr>
        <w:t>Glossectomy</w:t>
      </w:r>
    </w:p>
    <w:p w14:paraId="0B2A87B3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Mandibulectomy</w:t>
      </w:r>
    </w:p>
    <w:p w14:paraId="79A49B17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Maxillectomy</w:t>
      </w:r>
    </w:p>
    <w:p w14:paraId="3ADEC2FB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Palatectomy</w:t>
      </w:r>
    </w:p>
    <w:p w14:paraId="0EEAFA51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Wide local excision</w:t>
      </w:r>
    </w:p>
    <w:p w14:paraId="6791B4D0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Other: ________________</w:t>
      </w:r>
    </w:p>
    <w:p w14:paraId="5BD28307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5F979DC" w14:textId="41C315C7" w:rsidR="003A31FF" w:rsidRDefault="004F273D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Tumor site: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="003A31FF" w:rsidRPr="002005DC">
        <w:rPr>
          <w:color w:val="000000"/>
          <w:sz w:val="20"/>
          <w:szCs w:val="20"/>
        </w:rPr>
        <w:t>Tongue</w:t>
      </w:r>
    </w:p>
    <w:p w14:paraId="74273BE5" w14:textId="7297C970" w:rsidR="003548B4" w:rsidRPr="002005DC" w:rsidRDefault="003548B4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Lip (mucosal)</w:t>
      </w:r>
    </w:p>
    <w:p w14:paraId="3EC4D05A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Gingiva</w:t>
      </w:r>
    </w:p>
    <w:p w14:paraId="1F79E7F6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Floor of mouth</w:t>
      </w:r>
    </w:p>
    <w:p w14:paraId="22C484FC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Hard palate</w:t>
      </w:r>
    </w:p>
    <w:p w14:paraId="682E8F5C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Buccal mucosa</w:t>
      </w:r>
    </w:p>
    <w:p w14:paraId="5D3EB821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Mandible</w:t>
      </w:r>
    </w:p>
    <w:p w14:paraId="4A2A9F8E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Maxilla</w:t>
      </w:r>
    </w:p>
    <w:p w14:paraId="6037F50F" w14:textId="77777777" w:rsidR="003A31FF" w:rsidRPr="002005DC" w:rsidRDefault="003A31FF" w:rsidP="003A31FF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Other: ________________</w:t>
      </w:r>
    </w:p>
    <w:p w14:paraId="5DC11E8F" w14:textId="77777777" w:rsidR="000E6AA5" w:rsidRPr="002005DC" w:rsidRDefault="000E6AA5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54BE332F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Tumor Laterality:</w:t>
      </w:r>
      <w:r w:rsidRPr="002005DC">
        <w:rPr>
          <w:color w:val="000000"/>
          <w:sz w:val="20"/>
          <w:szCs w:val="20"/>
        </w:rPr>
        <w:tab/>
        <w:t>Right</w:t>
      </w:r>
    </w:p>
    <w:p w14:paraId="1FBE66BF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Left</w:t>
      </w:r>
    </w:p>
    <w:p w14:paraId="66786A9A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Midline</w:t>
      </w:r>
    </w:p>
    <w:p w14:paraId="349E7F25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Bilateral</w:t>
      </w:r>
    </w:p>
    <w:p w14:paraId="3F80892E" w14:textId="77777777" w:rsidR="003E0285" w:rsidRPr="002005DC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Other: ________________</w:t>
      </w:r>
    </w:p>
    <w:p w14:paraId="411B8247" w14:textId="77777777" w:rsidR="003E0285" w:rsidRPr="002005DC" w:rsidRDefault="003E0285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5761AC18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Tumor Focality: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 xml:space="preserve">Unifocal </w:t>
      </w:r>
      <w:r w:rsidRPr="002005DC">
        <w:rPr>
          <w:color w:val="000000"/>
          <w:sz w:val="20"/>
          <w:szCs w:val="20"/>
        </w:rPr>
        <w:tab/>
        <w:t>Multifocal</w:t>
      </w:r>
    </w:p>
    <w:p w14:paraId="5913E770" w14:textId="77777777" w:rsidR="00414B4A" w:rsidRPr="002005DC" w:rsidRDefault="00414B4A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</w:p>
    <w:p w14:paraId="6BA2A1E8" w14:textId="77777777" w:rsidR="000E6AA5" w:rsidRPr="002005DC" w:rsidRDefault="000E6AA5" w:rsidP="000E6AA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Tumor Size</w:t>
      </w:r>
      <w:r w:rsidR="003E0285" w:rsidRPr="002005DC">
        <w:rPr>
          <w:color w:val="000000"/>
          <w:sz w:val="20"/>
          <w:szCs w:val="20"/>
        </w:rPr>
        <w:t xml:space="preserve"> (greatest dimension):  ____</w:t>
      </w:r>
      <w:r w:rsidRPr="002005DC">
        <w:rPr>
          <w:color w:val="000000"/>
          <w:sz w:val="20"/>
          <w:szCs w:val="20"/>
        </w:rPr>
        <w:t>___ cm</w:t>
      </w:r>
    </w:p>
    <w:p w14:paraId="592A2289" w14:textId="77777777" w:rsidR="000E6AA5" w:rsidRDefault="000E6AA5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07BD948" w14:textId="77777777" w:rsidR="00361BC3" w:rsidRDefault="00361BC3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Depth of Invasion: ____ cm</w:t>
      </w:r>
    </w:p>
    <w:p w14:paraId="6A4B6E21" w14:textId="77777777" w:rsidR="00361BC3" w:rsidRPr="002005DC" w:rsidRDefault="00361BC3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ACCD30F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Histologic Type: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Keratinizing squamous cell carcinoma</w:t>
      </w:r>
    </w:p>
    <w:p w14:paraId="4EC9D5F1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Nonkeratinizing squamous cell carcinoma</w:t>
      </w:r>
    </w:p>
    <w:p w14:paraId="3021632E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Papillary squamous cell carcinoma</w:t>
      </w:r>
    </w:p>
    <w:p w14:paraId="0BE6B361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Adenosquamous carcinoma</w:t>
      </w:r>
    </w:p>
    <w:p w14:paraId="2C7C57A5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Basaloid squamous cell carcinoma</w:t>
      </w:r>
    </w:p>
    <w:p w14:paraId="393B32C1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Spindle cell (sarcomatoid) squamous cell carcinoma</w:t>
      </w:r>
    </w:p>
    <w:p w14:paraId="2F16D97A" w14:textId="4417C32D" w:rsidR="003E0285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Verrucous carcinoma</w:t>
      </w:r>
    </w:p>
    <w:p w14:paraId="5EA767FE" w14:textId="4BC9AD3A" w:rsidR="003548B4" w:rsidRPr="002005DC" w:rsidRDefault="003548B4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Minor salivary gland carcinoma, subtype: </w:t>
      </w:r>
    </w:p>
    <w:p w14:paraId="1AA1DC1D" w14:textId="77777777" w:rsidR="003E0285" w:rsidRPr="002005DC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Other: ________________</w:t>
      </w:r>
    </w:p>
    <w:p w14:paraId="4E860041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05C48E8A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Histologic Grade:</w:t>
      </w:r>
      <w:r w:rsidRPr="002005DC">
        <w:rPr>
          <w:color w:val="000000"/>
          <w:sz w:val="20"/>
          <w:szCs w:val="20"/>
        </w:rPr>
        <w:tab/>
        <w:t>Well-differentiated (G1)</w:t>
      </w:r>
    </w:p>
    <w:p w14:paraId="609CFE33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Moderately-differentiated (G2)</w:t>
      </w:r>
    </w:p>
    <w:p w14:paraId="01D0E1F8" w14:textId="77777777" w:rsidR="003E0285" w:rsidRPr="002005DC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Poorly-differentiated (G3)</w:t>
      </w:r>
    </w:p>
    <w:p w14:paraId="457988BD" w14:textId="77777777" w:rsidR="003E0285" w:rsidRPr="002005DC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Other: ________________</w:t>
      </w:r>
    </w:p>
    <w:p w14:paraId="627F837E" w14:textId="77777777" w:rsidR="00FA3CB2" w:rsidRPr="002005DC" w:rsidRDefault="00FA3CB2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50E45888" w14:textId="3BC39349" w:rsidR="006D00C6" w:rsidRPr="002005DC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lastRenderedPageBreak/>
        <w:t>Lymphovascular Invasion:</w:t>
      </w:r>
      <w:r w:rsidRPr="002005DC">
        <w:rPr>
          <w:color w:val="000000"/>
          <w:sz w:val="20"/>
          <w:szCs w:val="20"/>
        </w:rPr>
        <w:tab/>
      </w:r>
      <w:r w:rsidR="003548B4" w:rsidRPr="002005DC">
        <w:rPr>
          <w:color w:val="000000"/>
          <w:sz w:val="20"/>
          <w:szCs w:val="20"/>
        </w:rPr>
        <w:t xml:space="preserve">Present </w:t>
      </w:r>
      <w:r w:rsidR="003548B4" w:rsidRPr="002005DC">
        <w:rPr>
          <w:color w:val="000000"/>
          <w:sz w:val="20"/>
          <w:szCs w:val="20"/>
        </w:rPr>
        <w:tab/>
        <w:t>Absent</w:t>
      </w:r>
    </w:p>
    <w:p w14:paraId="6325387D" w14:textId="77777777" w:rsidR="006D00C6" w:rsidRPr="002005DC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12CA9D81" w14:textId="36C196D1" w:rsidR="003548B4" w:rsidRPr="002005DC" w:rsidRDefault="006D00C6" w:rsidP="003548B4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Perineural Invasion: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="003548B4" w:rsidRPr="002005DC">
        <w:rPr>
          <w:color w:val="000000"/>
          <w:sz w:val="20"/>
          <w:szCs w:val="20"/>
        </w:rPr>
        <w:t>Present</w:t>
      </w:r>
      <w:r w:rsidR="003548B4">
        <w:rPr>
          <w:color w:val="000000"/>
          <w:sz w:val="20"/>
          <w:szCs w:val="20"/>
        </w:rPr>
        <w:t>, focal</w:t>
      </w:r>
      <w:r w:rsidR="003548B4">
        <w:rPr>
          <w:color w:val="000000"/>
          <w:sz w:val="20"/>
          <w:szCs w:val="20"/>
        </w:rPr>
        <w:tab/>
        <w:t>Present, extensive</w:t>
      </w:r>
      <w:r w:rsidR="003548B4" w:rsidRPr="002005DC">
        <w:rPr>
          <w:color w:val="000000"/>
          <w:sz w:val="20"/>
          <w:szCs w:val="20"/>
        </w:rPr>
        <w:tab/>
        <w:t>Absent</w:t>
      </w:r>
    </w:p>
    <w:p w14:paraId="432140AF" w14:textId="77777777" w:rsidR="00E237BC" w:rsidRPr="002005DC" w:rsidRDefault="00E237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DBB6206" w14:textId="77777777" w:rsidR="00E237BC" w:rsidRPr="002005DC" w:rsidRDefault="00E237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Bone Invasion: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Present</w:t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Absent</w:t>
      </w:r>
      <w:r w:rsidR="001C1E5A" w:rsidRPr="002005DC">
        <w:rPr>
          <w:color w:val="000000"/>
          <w:sz w:val="20"/>
          <w:szCs w:val="20"/>
        </w:rPr>
        <w:tab/>
      </w:r>
      <w:r w:rsidR="001C1E5A" w:rsidRPr="002005DC">
        <w:rPr>
          <w:color w:val="000000"/>
          <w:sz w:val="20"/>
          <w:szCs w:val="20"/>
        </w:rPr>
        <w:tab/>
        <w:t>N/A</w:t>
      </w:r>
    </w:p>
    <w:p w14:paraId="48AC61F6" w14:textId="77777777" w:rsidR="00FB0F8A" w:rsidRPr="002005DC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BA73277" w14:textId="02CE3B90" w:rsidR="008A49D8" w:rsidRPr="002005DC" w:rsidRDefault="000945A9" w:rsidP="008A49D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Specimen </w:t>
      </w:r>
      <w:r w:rsidR="00FB0F8A" w:rsidRPr="002005DC">
        <w:rPr>
          <w:color w:val="000000"/>
          <w:sz w:val="20"/>
          <w:szCs w:val="20"/>
        </w:rPr>
        <w:t>Margins:</w:t>
      </w:r>
      <w:r w:rsidR="00FB0F8A" w:rsidRPr="002005DC">
        <w:rPr>
          <w:color w:val="000000"/>
          <w:sz w:val="20"/>
          <w:szCs w:val="20"/>
        </w:rPr>
        <w:tab/>
      </w:r>
      <w:r w:rsidR="004F273D" w:rsidRPr="002005DC">
        <w:rPr>
          <w:color w:val="000000"/>
          <w:sz w:val="20"/>
          <w:szCs w:val="20"/>
        </w:rPr>
        <w:tab/>
      </w:r>
      <w:r w:rsidR="008A49D8" w:rsidRPr="008A49D8">
        <w:rPr>
          <w:color w:val="000000"/>
          <w:sz w:val="20"/>
          <w:szCs w:val="20"/>
        </w:rPr>
        <w:t xml:space="preserve"> </w:t>
      </w:r>
      <w:r w:rsidR="000A677F">
        <w:rPr>
          <w:color w:val="000000"/>
          <w:sz w:val="20"/>
          <w:szCs w:val="20"/>
        </w:rPr>
        <w:t>Negative.</w:t>
      </w:r>
      <w:r w:rsidR="003548B4">
        <w:rPr>
          <w:color w:val="000000"/>
          <w:sz w:val="20"/>
          <w:szCs w:val="20"/>
        </w:rPr>
        <w:t xml:space="preserve"> Distance to closest margin: ___ mm</w:t>
      </w:r>
    </w:p>
    <w:p w14:paraId="1836F5DB" w14:textId="390030D4" w:rsidR="00FB0F8A" w:rsidRPr="002005DC" w:rsidRDefault="00384C90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  <w:r w:rsidR="000A677F">
        <w:rPr>
          <w:color w:val="000000"/>
          <w:sz w:val="20"/>
          <w:szCs w:val="20"/>
        </w:rPr>
        <w:t>Positive</w:t>
      </w:r>
    </w:p>
    <w:p w14:paraId="0F82A415" w14:textId="77777777" w:rsidR="003A31FF" w:rsidRPr="002005DC" w:rsidRDefault="003A31FF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1DD8515" w14:textId="1B63E93F" w:rsidR="003A31FF" w:rsidRPr="002005DC" w:rsidRDefault="000945A9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Separately submitted </w:t>
      </w:r>
      <w:r w:rsidR="003A31FF" w:rsidRPr="002005DC">
        <w:rPr>
          <w:color w:val="000000"/>
          <w:sz w:val="20"/>
          <w:szCs w:val="20"/>
        </w:rPr>
        <w:t xml:space="preserve">Tumor Bed Margin </w:t>
      </w:r>
      <w:r w:rsidR="00040C00" w:rsidRPr="002005DC">
        <w:rPr>
          <w:color w:val="000000"/>
          <w:sz w:val="20"/>
          <w:szCs w:val="20"/>
        </w:rPr>
        <w:t>Orientation:</w:t>
      </w:r>
      <w:r w:rsidR="00040C00" w:rsidRPr="002005DC">
        <w:rPr>
          <w:color w:val="000000"/>
          <w:sz w:val="20"/>
          <w:szCs w:val="20"/>
        </w:rPr>
        <w:tab/>
      </w:r>
      <w:r w:rsidR="00734A3A">
        <w:rPr>
          <w:color w:val="000000"/>
          <w:sz w:val="20"/>
          <w:szCs w:val="20"/>
        </w:rPr>
        <w:tab/>
      </w:r>
      <w:r w:rsidR="003A31FF" w:rsidRPr="002005DC">
        <w:rPr>
          <w:color w:val="000000"/>
          <w:sz w:val="20"/>
          <w:szCs w:val="20"/>
        </w:rPr>
        <w:t>Oriented to true margin surface</w:t>
      </w:r>
    </w:p>
    <w:p w14:paraId="4A474D19" w14:textId="77777777" w:rsidR="003A31FF" w:rsidRPr="002005DC" w:rsidRDefault="003A31FF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Unoriented to true margin surface</w:t>
      </w:r>
    </w:p>
    <w:p w14:paraId="2C658316" w14:textId="77777777" w:rsidR="00040C00" w:rsidRPr="002005DC" w:rsidRDefault="00040C00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N/A</w:t>
      </w:r>
    </w:p>
    <w:p w14:paraId="4D62B603" w14:textId="77777777" w:rsidR="003A31FF" w:rsidRPr="002005DC" w:rsidRDefault="003A31FF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5EED74D1" w14:textId="62F7E682" w:rsidR="003A31FF" w:rsidRPr="002005DC" w:rsidRDefault="000945A9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Separately submitted </w:t>
      </w:r>
      <w:r w:rsidR="003A31FF" w:rsidRPr="002005DC">
        <w:rPr>
          <w:color w:val="000000"/>
          <w:sz w:val="20"/>
          <w:szCs w:val="20"/>
        </w:rPr>
        <w:t>Tumor Bed Margins:</w:t>
      </w:r>
      <w:r w:rsidR="003A31FF" w:rsidRPr="002005DC">
        <w:rPr>
          <w:color w:val="000000"/>
          <w:sz w:val="20"/>
          <w:szCs w:val="20"/>
        </w:rPr>
        <w:tab/>
      </w:r>
      <w:r w:rsidR="003A31FF" w:rsidRPr="002005DC">
        <w:rPr>
          <w:color w:val="000000"/>
          <w:sz w:val="20"/>
          <w:szCs w:val="20"/>
        </w:rPr>
        <w:tab/>
      </w:r>
      <w:r w:rsidR="00040C00" w:rsidRPr="002005DC">
        <w:rPr>
          <w:color w:val="000000"/>
          <w:sz w:val="20"/>
          <w:szCs w:val="20"/>
        </w:rPr>
        <w:t>Uninvolved by invasive tumor</w:t>
      </w:r>
    </w:p>
    <w:p w14:paraId="56A76D10" w14:textId="77777777" w:rsidR="00040C00" w:rsidRPr="002005DC" w:rsidRDefault="00040C00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Involved by invasive tumor</w:t>
      </w:r>
    </w:p>
    <w:p w14:paraId="700FD14E" w14:textId="77777777" w:rsidR="00040C00" w:rsidRPr="002005DC" w:rsidRDefault="00040C00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</w:r>
      <w:r w:rsidRPr="002005DC">
        <w:rPr>
          <w:color w:val="000000"/>
          <w:sz w:val="20"/>
          <w:szCs w:val="20"/>
        </w:rPr>
        <w:tab/>
        <w:t>N/A</w:t>
      </w:r>
    </w:p>
    <w:p w14:paraId="29DD9D04" w14:textId="77777777" w:rsidR="00FB0F8A" w:rsidRPr="002005DC" w:rsidRDefault="00FB0F8A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5DD69B6" w14:textId="77777777" w:rsidR="004D7409" w:rsidRPr="002005DC" w:rsidRDefault="004D7409" w:rsidP="004D7409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Extent of Primary Tumor:</w:t>
      </w:r>
    </w:p>
    <w:p w14:paraId="0A2D3AFF" w14:textId="3DFAB3FC" w:rsidR="004D7409" w:rsidRPr="002005DC" w:rsidRDefault="004D7409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No evidence of primary tumor (pT)</w:t>
      </w:r>
    </w:p>
    <w:p w14:paraId="043CEDE1" w14:textId="77777777" w:rsidR="004D7409" w:rsidRPr="002005DC" w:rsidRDefault="004D7409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Carcinoma in situ (pTis)</w:t>
      </w:r>
    </w:p>
    <w:p w14:paraId="307E8EC8" w14:textId="52A74A96" w:rsidR="004D7409" w:rsidRPr="002005DC" w:rsidRDefault="004D7409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 xml:space="preserve">Tumor </w:t>
      </w:r>
      <w:r w:rsidR="003548B4">
        <w:rPr>
          <w:color w:val="000000"/>
          <w:sz w:val="20"/>
          <w:szCs w:val="20"/>
        </w:rPr>
        <w:t xml:space="preserve">less than or equal to </w:t>
      </w:r>
      <w:r w:rsidRPr="002005DC">
        <w:rPr>
          <w:color w:val="000000"/>
          <w:sz w:val="20"/>
          <w:szCs w:val="20"/>
        </w:rPr>
        <w:t xml:space="preserve">2 cm in greatest dimension </w:t>
      </w:r>
      <w:r w:rsidR="003548B4">
        <w:rPr>
          <w:color w:val="000000"/>
          <w:sz w:val="20"/>
          <w:szCs w:val="20"/>
        </w:rPr>
        <w:t>with</w:t>
      </w:r>
      <w:r w:rsidRPr="002005DC">
        <w:rPr>
          <w:color w:val="000000"/>
          <w:sz w:val="20"/>
          <w:szCs w:val="20"/>
        </w:rPr>
        <w:t xml:space="preserve"> depth of invasion</w:t>
      </w:r>
      <w:r w:rsidR="00673E69" w:rsidRPr="002005DC">
        <w:rPr>
          <w:color w:val="000000"/>
          <w:sz w:val="20"/>
          <w:szCs w:val="20"/>
        </w:rPr>
        <w:t xml:space="preserve"> less than</w:t>
      </w:r>
      <w:r w:rsidR="003548B4">
        <w:rPr>
          <w:color w:val="000000"/>
          <w:sz w:val="20"/>
          <w:szCs w:val="20"/>
        </w:rPr>
        <w:t xml:space="preserve"> or equal to</w:t>
      </w:r>
      <w:r w:rsidR="00673E69" w:rsidRPr="002005DC">
        <w:rPr>
          <w:color w:val="000000"/>
          <w:sz w:val="20"/>
          <w:szCs w:val="20"/>
        </w:rPr>
        <w:t xml:space="preserve"> 5 mm</w:t>
      </w:r>
      <w:r w:rsidRPr="002005DC">
        <w:rPr>
          <w:color w:val="000000"/>
          <w:sz w:val="20"/>
          <w:szCs w:val="20"/>
        </w:rPr>
        <w:t xml:space="preserve"> (pT1)</w:t>
      </w:r>
    </w:p>
    <w:p w14:paraId="0238516C" w14:textId="4B817C85" w:rsidR="004F273D" w:rsidRPr="002005DC" w:rsidRDefault="004D7409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 xml:space="preserve">Tumor </w:t>
      </w:r>
      <w:r w:rsidR="003548B4">
        <w:rPr>
          <w:color w:val="000000"/>
          <w:sz w:val="20"/>
          <w:szCs w:val="20"/>
        </w:rPr>
        <w:t xml:space="preserve">less than or equal to </w:t>
      </w:r>
      <w:r w:rsidRPr="002005DC">
        <w:rPr>
          <w:color w:val="000000"/>
          <w:sz w:val="20"/>
          <w:szCs w:val="20"/>
        </w:rPr>
        <w:t xml:space="preserve">2 cm in greatest dimension </w:t>
      </w:r>
      <w:r w:rsidR="003548B4">
        <w:rPr>
          <w:color w:val="000000"/>
          <w:sz w:val="20"/>
          <w:szCs w:val="20"/>
        </w:rPr>
        <w:t xml:space="preserve">with </w:t>
      </w:r>
      <w:r w:rsidRPr="002005DC">
        <w:rPr>
          <w:color w:val="000000"/>
          <w:sz w:val="20"/>
          <w:szCs w:val="20"/>
        </w:rPr>
        <w:t>depth of invasion greater tha</w:t>
      </w:r>
      <w:r w:rsidR="004F273D" w:rsidRPr="002005DC">
        <w:rPr>
          <w:color w:val="000000"/>
          <w:sz w:val="20"/>
          <w:szCs w:val="20"/>
        </w:rPr>
        <w:t xml:space="preserve">n 5 mm </w:t>
      </w:r>
      <w:r w:rsidR="003548B4">
        <w:rPr>
          <w:color w:val="000000"/>
          <w:sz w:val="20"/>
          <w:szCs w:val="20"/>
        </w:rPr>
        <w:t xml:space="preserve">or tumor greater than 2 cm and less than or equal to 4 cm with depth of invasion less than or equal to </w:t>
      </w:r>
      <w:r w:rsidR="004F273D" w:rsidRPr="002005DC">
        <w:rPr>
          <w:color w:val="000000"/>
          <w:sz w:val="20"/>
          <w:szCs w:val="20"/>
        </w:rPr>
        <w:t>10 mm (pT2)</w:t>
      </w:r>
    </w:p>
    <w:p w14:paraId="7E4DF543" w14:textId="5F25A232" w:rsidR="004D7409" w:rsidRPr="002005DC" w:rsidRDefault="004D7409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 xml:space="preserve">Tumor </w:t>
      </w:r>
      <w:r w:rsidR="003548B4">
        <w:rPr>
          <w:color w:val="000000"/>
          <w:sz w:val="20"/>
          <w:szCs w:val="20"/>
        </w:rPr>
        <w:t xml:space="preserve">greater </w:t>
      </w:r>
      <w:r w:rsidR="006149C7">
        <w:rPr>
          <w:color w:val="000000"/>
          <w:sz w:val="20"/>
          <w:szCs w:val="20"/>
        </w:rPr>
        <w:t xml:space="preserve">than </w:t>
      </w:r>
      <w:r w:rsidR="003548B4">
        <w:rPr>
          <w:color w:val="000000"/>
          <w:sz w:val="20"/>
          <w:szCs w:val="20"/>
        </w:rPr>
        <w:t xml:space="preserve">2 cm and less </w:t>
      </w:r>
      <w:r w:rsidRPr="002005DC">
        <w:rPr>
          <w:color w:val="000000"/>
          <w:sz w:val="20"/>
          <w:szCs w:val="20"/>
        </w:rPr>
        <w:t xml:space="preserve">than </w:t>
      </w:r>
      <w:r w:rsidR="003548B4">
        <w:rPr>
          <w:color w:val="000000"/>
          <w:sz w:val="20"/>
          <w:szCs w:val="20"/>
        </w:rPr>
        <w:t xml:space="preserve">or equal to </w:t>
      </w:r>
      <w:r w:rsidRPr="002005DC">
        <w:rPr>
          <w:color w:val="000000"/>
          <w:sz w:val="20"/>
          <w:szCs w:val="20"/>
        </w:rPr>
        <w:t xml:space="preserve">4 cm in greatest dimension </w:t>
      </w:r>
      <w:r w:rsidR="003548B4">
        <w:rPr>
          <w:color w:val="000000"/>
          <w:sz w:val="20"/>
          <w:szCs w:val="20"/>
        </w:rPr>
        <w:t xml:space="preserve">with </w:t>
      </w:r>
      <w:r w:rsidRPr="002005DC">
        <w:rPr>
          <w:color w:val="000000"/>
          <w:sz w:val="20"/>
          <w:szCs w:val="20"/>
        </w:rPr>
        <w:t xml:space="preserve">depth of invasion </w:t>
      </w:r>
      <w:r w:rsidR="003548B4">
        <w:rPr>
          <w:color w:val="000000"/>
          <w:sz w:val="20"/>
          <w:szCs w:val="20"/>
        </w:rPr>
        <w:t xml:space="preserve">greater than </w:t>
      </w:r>
      <w:r w:rsidRPr="002005DC">
        <w:rPr>
          <w:color w:val="000000"/>
          <w:sz w:val="20"/>
          <w:szCs w:val="20"/>
        </w:rPr>
        <w:t xml:space="preserve">10 mm </w:t>
      </w:r>
      <w:r w:rsidR="003548B4">
        <w:rPr>
          <w:color w:val="000000"/>
          <w:sz w:val="20"/>
          <w:szCs w:val="20"/>
        </w:rPr>
        <w:t xml:space="preserve">or tumor greater than 4 cm with depth of invasion less than or equal to 10 mm </w:t>
      </w:r>
      <w:r w:rsidRPr="002005DC">
        <w:rPr>
          <w:color w:val="000000"/>
          <w:sz w:val="20"/>
          <w:szCs w:val="20"/>
        </w:rPr>
        <w:t>(pT3)</w:t>
      </w:r>
    </w:p>
    <w:p w14:paraId="0FC716A3" w14:textId="00D267AD" w:rsidR="004D7409" w:rsidRPr="002005DC" w:rsidRDefault="003548B4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Moderately advanced local disease. </w:t>
      </w:r>
      <w:r w:rsidR="004D7409" w:rsidRPr="002005DC">
        <w:rPr>
          <w:color w:val="000000"/>
          <w:sz w:val="20"/>
          <w:szCs w:val="20"/>
        </w:rPr>
        <w:t xml:space="preserve">Tumor </w:t>
      </w:r>
      <w:r>
        <w:rPr>
          <w:color w:val="000000"/>
          <w:sz w:val="20"/>
          <w:szCs w:val="20"/>
        </w:rPr>
        <w:t xml:space="preserve">greater than 4 cm with depth of invasion greater than 10 mm or tumor </w:t>
      </w:r>
      <w:r w:rsidR="004D7409" w:rsidRPr="002005DC">
        <w:rPr>
          <w:color w:val="000000"/>
          <w:sz w:val="20"/>
          <w:szCs w:val="20"/>
        </w:rPr>
        <w:t>invades adjacent structures only (e</w:t>
      </w:r>
      <w:r>
        <w:rPr>
          <w:color w:val="000000"/>
          <w:sz w:val="20"/>
          <w:szCs w:val="20"/>
        </w:rPr>
        <w:t>.</w:t>
      </w:r>
      <w:r w:rsidR="004D7409" w:rsidRPr="002005DC">
        <w:rPr>
          <w:color w:val="000000"/>
          <w:sz w:val="20"/>
          <w:szCs w:val="20"/>
        </w:rPr>
        <w:t>g</w:t>
      </w:r>
      <w:r>
        <w:rPr>
          <w:color w:val="000000"/>
          <w:sz w:val="20"/>
          <w:szCs w:val="20"/>
        </w:rPr>
        <w:t>.,</w:t>
      </w:r>
      <w:r w:rsidR="004D7409" w:rsidRPr="002005DC">
        <w:rPr>
          <w:color w:val="000000"/>
          <w:sz w:val="20"/>
          <w:szCs w:val="20"/>
        </w:rPr>
        <w:t xml:space="preserve"> through cortical bone</w:t>
      </w:r>
      <w:r w:rsidR="00924F04" w:rsidRPr="002005DC">
        <w:rPr>
          <w:color w:val="000000"/>
          <w:sz w:val="20"/>
          <w:szCs w:val="20"/>
        </w:rPr>
        <w:t xml:space="preserve"> of the mandible or maxilla, or involves the maxillary sinus or skin of the face)</w:t>
      </w:r>
      <w:r>
        <w:rPr>
          <w:color w:val="000000"/>
          <w:sz w:val="20"/>
          <w:szCs w:val="20"/>
        </w:rPr>
        <w:t>.</w:t>
      </w:r>
      <w:r w:rsidR="004D7409" w:rsidRPr="002005DC">
        <w:rPr>
          <w:color w:val="000000"/>
          <w:sz w:val="20"/>
          <w:szCs w:val="20"/>
        </w:rPr>
        <w:t xml:space="preserve"> (pT4a)</w:t>
      </w:r>
    </w:p>
    <w:p w14:paraId="63BC121A" w14:textId="47A6BBA8" w:rsidR="004D7409" w:rsidRDefault="003548B4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Very advanced local disease. </w:t>
      </w:r>
      <w:r w:rsidR="004D7409" w:rsidRPr="002005DC">
        <w:rPr>
          <w:color w:val="000000"/>
          <w:sz w:val="20"/>
          <w:szCs w:val="20"/>
        </w:rPr>
        <w:t>Tumor invades masticator space, pterygoid plates, or skull base, and/or encases</w:t>
      </w:r>
      <w:r w:rsidR="00924F04" w:rsidRPr="002005DC">
        <w:rPr>
          <w:color w:val="000000"/>
          <w:sz w:val="20"/>
          <w:szCs w:val="20"/>
        </w:rPr>
        <w:t xml:space="preserve"> the</w:t>
      </w:r>
      <w:r w:rsidR="004D7409" w:rsidRPr="002005DC">
        <w:rPr>
          <w:color w:val="000000"/>
          <w:sz w:val="20"/>
          <w:szCs w:val="20"/>
        </w:rPr>
        <w:t xml:space="preserve"> internal carotid artery (pT4b)</w:t>
      </w:r>
    </w:p>
    <w:p w14:paraId="6279FE1C" w14:textId="67E9F42E" w:rsidR="003548B4" w:rsidRPr="002005DC" w:rsidRDefault="003548B4" w:rsidP="008E7ADC">
      <w:pPr>
        <w:pStyle w:val="Normal0"/>
        <w:widowControl w:val="0"/>
        <w:numPr>
          <w:ilvl w:val="0"/>
          <w:numId w:val="1"/>
        </w:numPr>
        <w:spacing w:line="274" w:lineRule="atLeast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Subgroup cannot be determined. (pT4)</w:t>
      </w:r>
    </w:p>
    <w:p w14:paraId="410F53B3" w14:textId="77777777" w:rsidR="006D00C6" w:rsidRPr="002005DC" w:rsidRDefault="006D00C6" w:rsidP="008E7ADC">
      <w:pPr>
        <w:pStyle w:val="Normal0"/>
        <w:widowControl w:val="0"/>
        <w:spacing w:line="274" w:lineRule="atLeast"/>
        <w:ind w:left="360" w:hanging="360"/>
        <w:rPr>
          <w:color w:val="000000"/>
          <w:sz w:val="20"/>
          <w:szCs w:val="20"/>
        </w:rPr>
      </w:pPr>
    </w:p>
    <w:p w14:paraId="040AD538" w14:textId="77777777" w:rsidR="004F273D" w:rsidRPr="002005DC" w:rsidRDefault="004F273D" w:rsidP="004F273D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Lymph Node Status:</w:t>
      </w:r>
    </w:p>
    <w:p w14:paraId="2EA27AFE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Not assessed</w:t>
      </w:r>
    </w:p>
    <w:p w14:paraId="2A553E36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No regional lymph node metastasis (pN0)</w:t>
      </w:r>
    </w:p>
    <w:p w14:paraId="23407297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single ipsilateral lymph node, 3 cm or smaller in greatest dimension without extranodal extension (pN1)</w:t>
      </w:r>
    </w:p>
    <w:p w14:paraId="7A78BD94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single ipsilateral lymph node, 3 cm or smaller in greatest dimension with extranodal extension (pN2a)</w:t>
      </w:r>
    </w:p>
    <w:p w14:paraId="050DD5D9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single ipsilateral lymph node, larger than 3 cm but not larger than 6 cm in greatest dimension without extranodal extension (pN2a)</w:t>
      </w:r>
    </w:p>
    <w:p w14:paraId="7ED19BB4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multiple ipsilateral lymph nodes, none larger than 6 cm in greatest dimension without extranodal extension (pN2b)</w:t>
      </w:r>
    </w:p>
    <w:p w14:paraId="4A4F393B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 xml:space="preserve">Metastasis in bilateral or contralateral lymph nodes, none larger than 6 cm in greatest dimension </w:t>
      </w:r>
      <w:r w:rsidRPr="002005DC">
        <w:rPr>
          <w:color w:val="000000"/>
          <w:sz w:val="20"/>
          <w:szCs w:val="20"/>
        </w:rPr>
        <w:lastRenderedPageBreak/>
        <w:t>without extranodal extension (pN2c)</w:t>
      </w:r>
    </w:p>
    <w:p w14:paraId="5C537B8D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lymph node larger than 6 cm in greatest dimension without extranodal extension (pN3a)</w:t>
      </w:r>
    </w:p>
    <w:p w14:paraId="09B7B860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single ipsilateral lymph node, larger than 3 cm in greatest dimension with extranodal extension (pN3b)</w:t>
      </w:r>
    </w:p>
    <w:p w14:paraId="682900C8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Metastases in multiple ipsilateral, contralateral, or bilateral lymph nodes with extranodal extension (pN3b)</w:t>
      </w:r>
    </w:p>
    <w:p w14:paraId="080FE48F" w14:textId="77777777" w:rsidR="004F273D" w:rsidRPr="002005DC" w:rsidRDefault="004F273D" w:rsidP="008E7ADC">
      <w:pPr>
        <w:pStyle w:val="Normal0"/>
        <w:widowControl w:val="0"/>
        <w:numPr>
          <w:ilvl w:val="0"/>
          <w:numId w:val="2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Metastasis in a single contralateral node, 3 cm or smaller with extranodal extension (pN3b)</w:t>
      </w:r>
    </w:p>
    <w:p w14:paraId="64BFE4A4" w14:textId="77777777" w:rsidR="00DE245B" w:rsidRPr="002005DC" w:rsidRDefault="00DE245B" w:rsidP="008E7ADC">
      <w:pPr>
        <w:pStyle w:val="Normal0"/>
        <w:widowControl w:val="0"/>
        <w:spacing w:line="274" w:lineRule="atLeast"/>
        <w:ind w:left="360" w:hanging="360"/>
        <w:rPr>
          <w:color w:val="000000"/>
          <w:sz w:val="20"/>
          <w:szCs w:val="20"/>
        </w:rPr>
      </w:pPr>
    </w:p>
    <w:p w14:paraId="30B3453D" w14:textId="77777777" w:rsidR="00DE245B" w:rsidRPr="002005DC" w:rsidRDefault="00DE245B" w:rsidP="00DE245B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Extent of Primary Tumor (Mucosal Melanoma):</w:t>
      </w:r>
    </w:p>
    <w:p w14:paraId="687410F2" w14:textId="77777777" w:rsidR="00DE245B" w:rsidRPr="002005DC" w:rsidRDefault="00DE245B" w:rsidP="008E7ADC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Tumor</w:t>
      </w:r>
      <w:r w:rsidR="00301F5D" w:rsidRPr="002005DC">
        <w:rPr>
          <w:i/>
          <w:color w:val="000000"/>
          <w:sz w:val="20"/>
          <w:szCs w:val="20"/>
        </w:rPr>
        <w:t xml:space="preserve">s limited to the mucosa and immediately underlying soft tissue, regardless of thickness or greatest dimension </w:t>
      </w:r>
      <w:r w:rsidRPr="002005DC">
        <w:rPr>
          <w:i/>
          <w:color w:val="000000"/>
          <w:sz w:val="20"/>
          <w:szCs w:val="20"/>
        </w:rPr>
        <w:t>(pT3)</w:t>
      </w:r>
    </w:p>
    <w:p w14:paraId="47BB014F" w14:textId="77777777" w:rsidR="00DE245B" w:rsidRPr="002005DC" w:rsidRDefault="00DE245B" w:rsidP="008E7ADC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 xml:space="preserve">Tumor </w:t>
      </w:r>
      <w:r w:rsidR="00301F5D" w:rsidRPr="002005DC">
        <w:rPr>
          <w:i/>
          <w:color w:val="000000"/>
          <w:sz w:val="20"/>
          <w:szCs w:val="20"/>
        </w:rPr>
        <w:t>involving deep soft tissue, cartilage, bone, or overlying skin</w:t>
      </w:r>
      <w:r w:rsidRPr="002005DC">
        <w:rPr>
          <w:i/>
          <w:color w:val="000000"/>
          <w:sz w:val="20"/>
          <w:szCs w:val="20"/>
        </w:rPr>
        <w:t xml:space="preserve"> (pT4a)</w:t>
      </w:r>
    </w:p>
    <w:p w14:paraId="6C2E1507" w14:textId="77777777" w:rsidR="00DE245B" w:rsidRPr="002005DC" w:rsidRDefault="00DE245B" w:rsidP="008E7ADC">
      <w:pPr>
        <w:pStyle w:val="Normal0"/>
        <w:widowControl w:val="0"/>
        <w:numPr>
          <w:ilvl w:val="0"/>
          <w:numId w:val="3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 xml:space="preserve">Tumor </w:t>
      </w:r>
      <w:r w:rsidR="00301F5D" w:rsidRPr="002005DC">
        <w:rPr>
          <w:i/>
          <w:color w:val="000000"/>
          <w:sz w:val="20"/>
          <w:szCs w:val="20"/>
        </w:rPr>
        <w:t xml:space="preserve">involving brain, dura, skull base, lower cranial nerves (IX, X, XI, XII), masticator space, carotid artery, prevertebral space, or mediastinal structures </w:t>
      </w:r>
      <w:r w:rsidRPr="002005DC">
        <w:rPr>
          <w:i/>
          <w:color w:val="000000"/>
          <w:sz w:val="20"/>
          <w:szCs w:val="20"/>
        </w:rPr>
        <w:t>(pT4b)</w:t>
      </w:r>
    </w:p>
    <w:p w14:paraId="3EE9ABDF" w14:textId="77777777" w:rsidR="00DE245B" w:rsidRPr="002005DC" w:rsidRDefault="00DE245B" w:rsidP="00DE245B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</w:p>
    <w:p w14:paraId="25736D72" w14:textId="77777777" w:rsidR="00DE245B" w:rsidRPr="002005DC" w:rsidRDefault="00DE245B" w:rsidP="00DE245B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Lymph Node Status (</w:t>
      </w:r>
      <w:r w:rsidR="00301F5D" w:rsidRPr="002005DC">
        <w:rPr>
          <w:i/>
          <w:color w:val="000000"/>
          <w:sz w:val="20"/>
          <w:szCs w:val="20"/>
        </w:rPr>
        <w:t>Mucosal Melanoma</w:t>
      </w:r>
      <w:r w:rsidRPr="002005DC">
        <w:rPr>
          <w:i/>
          <w:color w:val="000000"/>
          <w:sz w:val="20"/>
          <w:szCs w:val="20"/>
        </w:rPr>
        <w:t>):</w:t>
      </w:r>
    </w:p>
    <w:p w14:paraId="583A6350" w14:textId="77777777" w:rsidR="00DE245B" w:rsidRPr="002005DC" w:rsidRDefault="00DE245B" w:rsidP="008E7ADC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Not assessed</w:t>
      </w:r>
    </w:p>
    <w:p w14:paraId="5300D70B" w14:textId="77777777" w:rsidR="00DE245B" w:rsidRPr="002005DC" w:rsidRDefault="00DE245B" w:rsidP="008E7ADC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No regional lymph node metastasis (pN0)</w:t>
      </w:r>
    </w:p>
    <w:p w14:paraId="624698CF" w14:textId="77777777" w:rsidR="00C47639" w:rsidRPr="002005DC" w:rsidRDefault="00C47639" w:rsidP="008E7ADC">
      <w:pPr>
        <w:pStyle w:val="Normal0"/>
        <w:widowControl w:val="0"/>
        <w:numPr>
          <w:ilvl w:val="0"/>
          <w:numId w:val="4"/>
        </w:numPr>
        <w:spacing w:line="274" w:lineRule="atLeast"/>
        <w:ind w:left="360"/>
        <w:rPr>
          <w:i/>
          <w:color w:val="000000"/>
          <w:sz w:val="20"/>
          <w:szCs w:val="20"/>
        </w:rPr>
      </w:pPr>
      <w:r w:rsidRPr="002005DC">
        <w:rPr>
          <w:i/>
          <w:color w:val="000000"/>
          <w:sz w:val="20"/>
          <w:szCs w:val="20"/>
        </w:rPr>
        <w:t>Regional lymph node metastases present (pN1)</w:t>
      </w:r>
    </w:p>
    <w:p w14:paraId="496138E8" w14:textId="77777777" w:rsidR="00DE245B" w:rsidRPr="002005DC" w:rsidRDefault="00DE245B" w:rsidP="00DE245B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1D0F1DA" w14:textId="77777777" w:rsidR="0080002E" w:rsidRPr="002005DC" w:rsidRDefault="00FA3CB2" w:rsidP="0080002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Distant Metastasis:</w:t>
      </w:r>
    </w:p>
    <w:p w14:paraId="37DAFC4E" w14:textId="77777777" w:rsidR="00FA3CB2" w:rsidRPr="002005DC" w:rsidRDefault="00FA3CB2" w:rsidP="008E7ADC">
      <w:pPr>
        <w:pStyle w:val="Normal0"/>
        <w:widowControl w:val="0"/>
        <w:numPr>
          <w:ilvl w:val="0"/>
          <w:numId w:val="5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Not assessed</w:t>
      </w:r>
    </w:p>
    <w:p w14:paraId="670E1A72" w14:textId="77777777" w:rsidR="0080002E" w:rsidRDefault="00FA3CB2" w:rsidP="008E7ADC">
      <w:pPr>
        <w:pStyle w:val="Normal0"/>
        <w:widowControl w:val="0"/>
        <w:numPr>
          <w:ilvl w:val="0"/>
          <w:numId w:val="5"/>
        </w:numPr>
        <w:spacing w:line="274" w:lineRule="atLeast"/>
        <w:ind w:left="360"/>
        <w:rPr>
          <w:color w:val="000000"/>
          <w:sz w:val="20"/>
          <w:szCs w:val="20"/>
        </w:rPr>
      </w:pPr>
      <w:r w:rsidRPr="002005DC">
        <w:rPr>
          <w:color w:val="000000"/>
          <w:sz w:val="20"/>
          <w:szCs w:val="20"/>
        </w:rPr>
        <w:t>Distant metastasis (pM1)</w:t>
      </w:r>
    </w:p>
    <w:p w14:paraId="231966A6" w14:textId="77777777" w:rsidR="000F68B8" w:rsidRDefault="000F68B8" w:rsidP="000F68B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083C2FA" w14:textId="77777777" w:rsidR="000F68B8" w:rsidRPr="002005DC" w:rsidRDefault="000F68B8" w:rsidP="000F68B8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(AJCC 8</w:t>
      </w:r>
      <w:r w:rsidRPr="000F68B8">
        <w:rPr>
          <w:color w:val="000000"/>
          <w:sz w:val="20"/>
          <w:szCs w:val="20"/>
          <w:vertAlign w:val="superscript"/>
        </w:rPr>
        <w:t>th</w:t>
      </w:r>
      <w:r>
        <w:rPr>
          <w:color w:val="000000"/>
          <w:sz w:val="20"/>
          <w:szCs w:val="20"/>
        </w:rPr>
        <w:t xml:space="preserve"> edition)</w:t>
      </w:r>
    </w:p>
    <w:sectPr w:rsidR="000F68B8" w:rsidRPr="002005DC" w:rsidSect="000C7E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61C7" w14:textId="77777777" w:rsidR="008058A2" w:rsidRDefault="008058A2" w:rsidP="008058A2">
      <w:pPr>
        <w:spacing w:after="0" w:line="240" w:lineRule="auto"/>
      </w:pPr>
      <w:r>
        <w:separator/>
      </w:r>
    </w:p>
  </w:endnote>
  <w:endnote w:type="continuationSeparator" w:id="0">
    <w:p w14:paraId="1ECA0015" w14:textId="77777777" w:rsidR="008058A2" w:rsidRDefault="008058A2" w:rsidP="008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A085" w14:textId="0185B5B9" w:rsidR="008058A2" w:rsidRDefault="008058A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390762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390762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14:paraId="169DE4A3" w14:textId="77777777" w:rsidR="008058A2" w:rsidRDefault="0080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B96CB" w14:textId="77777777" w:rsidR="008058A2" w:rsidRDefault="008058A2" w:rsidP="008058A2">
      <w:pPr>
        <w:spacing w:after="0" w:line="240" w:lineRule="auto"/>
      </w:pPr>
      <w:r>
        <w:separator/>
      </w:r>
    </w:p>
  </w:footnote>
  <w:footnote w:type="continuationSeparator" w:id="0">
    <w:p w14:paraId="0A25D26E" w14:textId="77777777" w:rsidR="008058A2" w:rsidRDefault="008058A2" w:rsidP="008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12DF" w14:textId="3D42ABBC" w:rsidR="00CC72E2" w:rsidRPr="00CC72E2" w:rsidRDefault="00C9265F" w:rsidP="00CC72E2">
    <w:pPr>
      <w:pStyle w:val="Header"/>
      <w:tabs>
        <w:tab w:val="clear" w:pos="4680"/>
      </w:tabs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3548B4">
      <w:rPr>
        <w:rFonts w:ascii="Arial" w:hAnsi="Arial" w:cs="Arial"/>
      </w:rPr>
      <w:t>August 2021</w:t>
    </w:r>
    <w:r w:rsidR="00CC72E2" w:rsidRPr="00CC72E2">
      <w:rPr>
        <w:rFonts w:ascii="Arial" w:hAnsi="Arial" w:cs="Arial"/>
      </w:rPr>
      <w:tab/>
      <w:t xml:space="preserve">Soft code: </w:t>
    </w:r>
    <w:r w:rsidR="00407627">
      <w:rPr>
        <w:rFonts w:ascii="Arial" w:hAnsi="Arial" w:cs="Arial"/>
      </w:rPr>
      <w:t>ORAL</w:t>
    </w:r>
    <w:r w:rsidR="004F273D">
      <w:rPr>
        <w:rFonts w:ascii="Arial" w:hAnsi="Arial" w:cs="Arial"/>
      </w:rPr>
      <w:t>NEO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4C"/>
    <w:multiLevelType w:val="hybridMultilevel"/>
    <w:tmpl w:val="A8B01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E716F"/>
    <w:multiLevelType w:val="hybridMultilevel"/>
    <w:tmpl w:val="EB720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C7F83"/>
    <w:multiLevelType w:val="hybridMultilevel"/>
    <w:tmpl w:val="35DA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B34F1"/>
    <w:multiLevelType w:val="hybridMultilevel"/>
    <w:tmpl w:val="6D8E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E117B"/>
    <w:multiLevelType w:val="hybridMultilevel"/>
    <w:tmpl w:val="489CD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A6192"/>
    <w:multiLevelType w:val="hybridMultilevel"/>
    <w:tmpl w:val="B140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41"/>
    <w:rsid w:val="00007AA4"/>
    <w:rsid w:val="000151FD"/>
    <w:rsid w:val="00040C00"/>
    <w:rsid w:val="000526EE"/>
    <w:rsid w:val="000945A9"/>
    <w:rsid w:val="000A677F"/>
    <w:rsid w:val="000D4386"/>
    <w:rsid w:val="000E6AA5"/>
    <w:rsid w:val="000F68B8"/>
    <w:rsid w:val="0013636E"/>
    <w:rsid w:val="001B4604"/>
    <w:rsid w:val="001C1E5A"/>
    <w:rsid w:val="002005DC"/>
    <w:rsid w:val="002542C0"/>
    <w:rsid w:val="00293E6C"/>
    <w:rsid w:val="002F5198"/>
    <w:rsid w:val="00301F5D"/>
    <w:rsid w:val="003548B4"/>
    <w:rsid w:val="00361BC3"/>
    <w:rsid w:val="00384C90"/>
    <w:rsid w:val="00390762"/>
    <w:rsid w:val="00391D7C"/>
    <w:rsid w:val="003A31FF"/>
    <w:rsid w:val="003C77CD"/>
    <w:rsid w:val="003E0285"/>
    <w:rsid w:val="00407627"/>
    <w:rsid w:val="00414B4A"/>
    <w:rsid w:val="004D7409"/>
    <w:rsid w:val="004F273D"/>
    <w:rsid w:val="006149C7"/>
    <w:rsid w:val="006510B9"/>
    <w:rsid w:val="00673E69"/>
    <w:rsid w:val="006D00C6"/>
    <w:rsid w:val="0070054F"/>
    <w:rsid w:val="00715FEE"/>
    <w:rsid w:val="00734A3A"/>
    <w:rsid w:val="00764509"/>
    <w:rsid w:val="007F3612"/>
    <w:rsid w:val="0080002E"/>
    <w:rsid w:val="008058A2"/>
    <w:rsid w:val="00880598"/>
    <w:rsid w:val="008A49D8"/>
    <w:rsid w:val="008E7ADC"/>
    <w:rsid w:val="009175E3"/>
    <w:rsid w:val="00924F04"/>
    <w:rsid w:val="00995A66"/>
    <w:rsid w:val="00A10849"/>
    <w:rsid w:val="00A401C8"/>
    <w:rsid w:val="00B524DF"/>
    <w:rsid w:val="00BB765D"/>
    <w:rsid w:val="00C47639"/>
    <w:rsid w:val="00C9265F"/>
    <w:rsid w:val="00CC72E2"/>
    <w:rsid w:val="00D97CAF"/>
    <w:rsid w:val="00DC3641"/>
    <w:rsid w:val="00DD0BFD"/>
    <w:rsid w:val="00DE245B"/>
    <w:rsid w:val="00E011F9"/>
    <w:rsid w:val="00E237BC"/>
    <w:rsid w:val="00E403A1"/>
    <w:rsid w:val="00E575A3"/>
    <w:rsid w:val="00E9543E"/>
    <w:rsid w:val="00FA3CB2"/>
    <w:rsid w:val="00F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6516"/>
  <w15:chartTrackingRefBased/>
  <w15:docId w15:val="{1C395A8D-DD93-458A-AEA0-F96590A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C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A2"/>
  </w:style>
  <w:style w:type="paragraph" w:styleId="Footer">
    <w:name w:val="footer"/>
    <w:basedOn w:val="Normal"/>
    <w:link w:val="Foot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A2"/>
  </w:style>
  <w:style w:type="paragraph" w:styleId="BalloonText">
    <w:name w:val="Balloon Text"/>
    <w:basedOn w:val="Normal"/>
    <w:link w:val="BalloonTextChar"/>
    <w:uiPriority w:val="99"/>
    <w:semiHidden/>
    <w:unhideWhenUsed/>
    <w:rsid w:val="0071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4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Fritzemeier, Nancy</dc:creator>
  <cp:keywords/>
  <dc:description/>
  <cp:lastModifiedBy>Fritzemeier, Nancy</cp:lastModifiedBy>
  <cp:revision>13</cp:revision>
  <cp:lastPrinted>2017-02-06T20:17:00Z</cp:lastPrinted>
  <dcterms:created xsi:type="dcterms:W3CDTF">2017-10-27T19:10:00Z</dcterms:created>
  <dcterms:modified xsi:type="dcterms:W3CDTF">2021-08-04T18:41:00Z</dcterms:modified>
</cp:coreProperties>
</file>