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90E" w:rsidRPr="00B35198" w:rsidRDefault="00242B3C">
      <w:pPr>
        <w:rPr>
          <w:rFonts w:cstheme="minorHAnsi"/>
          <w:b/>
        </w:rPr>
      </w:pPr>
      <w:bookmarkStart w:id="0" w:name="_GoBack"/>
      <w:bookmarkEnd w:id="0"/>
      <w:r w:rsidRPr="00B35198">
        <w:rPr>
          <w:rFonts w:cstheme="minorHAnsi"/>
          <w:b/>
        </w:rPr>
        <w:t>Renal Pathology</w:t>
      </w:r>
      <w:r w:rsidR="00645BDC" w:rsidRPr="00B35198">
        <w:rPr>
          <w:rFonts w:cstheme="minorHAnsi"/>
          <w:b/>
        </w:rPr>
        <w:t xml:space="preserve"> </w:t>
      </w:r>
      <w:r w:rsidR="006074A7" w:rsidRPr="00B35198">
        <w:rPr>
          <w:rFonts w:cstheme="minorHAnsi"/>
          <w:b/>
        </w:rPr>
        <w:t>Rotation Goals and Objectives</w:t>
      </w:r>
    </w:p>
    <w:p w:rsidR="001640AE" w:rsidRPr="00B35198" w:rsidRDefault="001640AE">
      <w:pPr>
        <w:rPr>
          <w:rFonts w:cstheme="minorHAnsi"/>
          <w:b/>
        </w:rPr>
      </w:pPr>
      <w:r w:rsidRPr="00B35198">
        <w:rPr>
          <w:rFonts w:cstheme="minorHAnsi"/>
          <w:b/>
        </w:rPr>
        <w:t xml:space="preserve">Rotation </w:t>
      </w:r>
      <w:r w:rsidR="00242B3C" w:rsidRPr="00B35198">
        <w:rPr>
          <w:rFonts w:cstheme="minorHAnsi"/>
          <w:b/>
        </w:rPr>
        <w:t>Faculty</w:t>
      </w:r>
      <w:r w:rsidRPr="00B35198">
        <w:rPr>
          <w:rFonts w:cstheme="minorHAnsi"/>
          <w:b/>
        </w:rPr>
        <w:t xml:space="preserve">: </w:t>
      </w:r>
      <w:r w:rsidR="00D901A6" w:rsidRPr="00D901A6">
        <w:rPr>
          <w:rFonts w:cstheme="minorHAnsi"/>
        </w:rPr>
        <w:t>Evan Farkash, M.D., Ph.D.,</w:t>
      </w:r>
      <w:r w:rsidRPr="00B35198">
        <w:rPr>
          <w:rFonts w:cstheme="minorHAnsi"/>
          <w:b/>
        </w:rPr>
        <w:t xml:space="preserve"> </w:t>
      </w:r>
      <w:r w:rsidR="00D901A6">
        <w:rPr>
          <w:rFonts w:cstheme="minorHAnsi"/>
        </w:rPr>
        <w:t>Jeffrey B. Hodgin, M.D., Ph.D.</w:t>
      </w:r>
      <w:r w:rsidR="00242B3C" w:rsidRPr="00B35198">
        <w:rPr>
          <w:rFonts w:cstheme="minorHAnsi"/>
        </w:rPr>
        <w:t>, Paul D. Killen, M.D., Ph.D.</w:t>
      </w:r>
    </w:p>
    <w:p w:rsidR="001B790E" w:rsidRPr="00B35198" w:rsidRDefault="00E71082">
      <w:pPr>
        <w:rPr>
          <w:rFonts w:cstheme="minorHAnsi"/>
        </w:rPr>
      </w:pPr>
      <w:r w:rsidRPr="00B35198">
        <w:rPr>
          <w:rFonts w:cstheme="minorHAnsi"/>
        </w:rPr>
        <w:t xml:space="preserve">The goal of the </w:t>
      </w:r>
      <w:r w:rsidR="00242B3C" w:rsidRPr="00B35198">
        <w:rPr>
          <w:rFonts w:cstheme="minorHAnsi"/>
          <w:b/>
        </w:rPr>
        <w:t>Renal P</w:t>
      </w:r>
      <w:r w:rsidR="00645BDC" w:rsidRPr="00B35198">
        <w:rPr>
          <w:rFonts w:cstheme="minorHAnsi"/>
          <w:b/>
        </w:rPr>
        <w:t xml:space="preserve">athology </w:t>
      </w:r>
      <w:r w:rsidRPr="00B35198">
        <w:rPr>
          <w:rFonts w:cstheme="minorHAnsi"/>
          <w:b/>
        </w:rPr>
        <w:t>R</w:t>
      </w:r>
      <w:r w:rsidR="006074A7" w:rsidRPr="00B35198">
        <w:rPr>
          <w:rFonts w:cstheme="minorHAnsi"/>
          <w:b/>
        </w:rPr>
        <w:t>otation</w:t>
      </w:r>
      <w:r w:rsidR="006074A7" w:rsidRPr="00B35198">
        <w:rPr>
          <w:rFonts w:cstheme="minorHAnsi"/>
        </w:rPr>
        <w:t xml:space="preserve"> is for the resident to move from being a </w:t>
      </w:r>
    </w:p>
    <w:p w:rsidR="00E71082" w:rsidRPr="00B35198" w:rsidRDefault="006074A7" w:rsidP="00E71082">
      <w:pPr>
        <w:rPr>
          <w:rFonts w:cstheme="minorHAnsi"/>
        </w:rPr>
      </w:pPr>
      <w:r w:rsidRPr="00B35198">
        <w:rPr>
          <w:rFonts w:cstheme="minorHAnsi"/>
          <w:b/>
        </w:rPr>
        <w:t>Novice</w:t>
      </w:r>
      <w:r w:rsidR="00E71082" w:rsidRPr="00B35198">
        <w:rPr>
          <w:rFonts w:cstheme="minorHAnsi"/>
          <w:b/>
        </w:rPr>
        <w:t xml:space="preserve"> </w:t>
      </w:r>
      <w:r w:rsidR="00E71082" w:rsidRPr="00FC1639">
        <w:rPr>
          <w:rFonts w:cstheme="minorHAnsi"/>
        </w:rPr>
        <w:t xml:space="preserve"> (</w:t>
      </w:r>
      <w:r w:rsidR="00E71082" w:rsidRPr="00B35198">
        <w:rPr>
          <w:rFonts w:cstheme="minorHAnsi"/>
        </w:rPr>
        <w:t>A novice knows little about the subject, and rigidly adheres to rules with little situational perception.  He/she does not feel responsible for outcomes. )</w:t>
      </w:r>
    </w:p>
    <w:p w:rsidR="00E71082" w:rsidRPr="00B35198" w:rsidRDefault="00E71082" w:rsidP="00E71082">
      <w:pPr>
        <w:rPr>
          <w:rFonts w:cstheme="minorHAnsi"/>
        </w:rPr>
      </w:pPr>
      <w:r w:rsidRPr="00B35198">
        <w:rPr>
          <w:rFonts w:cstheme="minorHAnsi"/>
        </w:rPr>
        <w:t>To</w:t>
      </w:r>
    </w:p>
    <w:p w:rsidR="007408B5" w:rsidRPr="00B35198" w:rsidRDefault="00562F9A" w:rsidP="007408B5">
      <w:pPr>
        <w:rPr>
          <w:rFonts w:cstheme="minorHAnsi"/>
        </w:rPr>
      </w:pPr>
      <w:r w:rsidRPr="00B35198">
        <w:rPr>
          <w:rFonts w:cstheme="minorHAnsi"/>
          <w:b/>
        </w:rPr>
        <w:t xml:space="preserve"> Advance Beginner /</w:t>
      </w:r>
      <w:r w:rsidR="007408B5" w:rsidRPr="00B35198">
        <w:rPr>
          <w:rFonts w:cstheme="minorHAnsi"/>
          <w:b/>
        </w:rPr>
        <w:t>Competent</w:t>
      </w:r>
      <w:r w:rsidR="007408B5" w:rsidRPr="00B35198">
        <w:rPr>
          <w:rFonts w:cstheme="minorHAnsi"/>
        </w:rPr>
        <w:t xml:space="preserve"> (The competent learner grasps the relevant facts, can sort information by relevance, can bring his/her own judgment to each case, and solve problems.  Guidelines are adapted to unexpected events.  He/she feels accountable for outcomes because of increasing decision-making.)</w:t>
      </w:r>
    </w:p>
    <w:tbl>
      <w:tblPr>
        <w:tblStyle w:val="TableGrid"/>
        <w:tblW w:w="13608" w:type="dxa"/>
        <w:tblLook w:val="04A0" w:firstRow="1" w:lastRow="0" w:firstColumn="1" w:lastColumn="0" w:noHBand="0" w:noVBand="1"/>
      </w:tblPr>
      <w:tblGrid>
        <w:gridCol w:w="4158"/>
        <w:gridCol w:w="9450"/>
      </w:tblGrid>
      <w:tr w:rsidR="00C507B5" w:rsidRPr="00B35198">
        <w:tc>
          <w:tcPr>
            <w:tcW w:w="4158" w:type="dxa"/>
            <w:shd w:val="clear" w:color="auto" w:fill="EAF1DD" w:themeFill="accent3" w:themeFillTint="33"/>
          </w:tcPr>
          <w:p w:rsidR="00C507B5" w:rsidRPr="00B35198" w:rsidRDefault="00C507B5">
            <w:pPr>
              <w:rPr>
                <w:rFonts w:cstheme="minorHAnsi"/>
                <w:b/>
              </w:rPr>
            </w:pPr>
            <w:r w:rsidRPr="00B35198">
              <w:rPr>
                <w:rFonts w:cstheme="minorHAnsi"/>
                <w:b/>
              </w:rPr>
              <w:t>Rotation Goals</w:t>
            </w:r>
          </w:p>
        </w:tc>
        <w:tc>
          <w:tcPr>
            <w:tcW w:w="9450" w:type="dxa"/>
            <w:shd w:val="clear" w:color="auto" w:fill="EAF1DD" w:themeFill="accent3" w:themeFillTint="33"/>
          </w:tcPr>
          <w:p w:rsidR="00C507B5" w:rsidRPr="00B35198" w:rsidRDefault="00437FD6">
            <w:pPr>
              <w:rPr>
                <w:rFonts w:cstheme="minorHAnsi"/>
                <w:b/>
              </w:rPr>
            </w:pPr>
            <w:r w:rsidRPr="00B35198">
              <w:rPr>
                <w:rFonts w:cstheme="minorHAnsi"/>
                <w:b/>
              </w:rPr>
              <w:t>Renal P</w:t>
            </w:r>
            <w:r w:rsidR="00645BDC" w:rsidRPr="00B35198">
              <w:rPr>
                <w:rFonts w:cstheme="minorHAnsi"/>
                <w:b/>
              </w:rPr>
              <w:t>athology</w:t>
            </w:r>
            <w:r w:rsidR="004501D9" w:rsidRPr="00B35198">
              <w:rPr>
                <w:rFonts w:cstheme="minorHAnsi"/>
                <w:b/>
              </w:rPr>
              <w:t xml:space="preserve"> </w:t>
            </w:r>
            <w:r w:rsidR="00C507B5" w:rsidRPr="00B35198">
              <w:rPr>
                <w:rFonts w:cstheme="minorHAnsi"/>
                <w:b/>
              </w:rPr>
              <w:t>Rotation Objectives</w:t>
            </w:r>
          </w:p>
        </w:tc>
      </w:tr>
      <w:tr w:rsidR="00C507B5" w:rsidRPr="00B35198">
        <w:tc>
          <w:tcPr>
            <w:tcW w:w="4158" w:type="dxa"/>
            <w:shd w:val="clear" w:color="auto" w:fill="EAF1DD" w:themeFill="accent3" w:themeFillTint="33"/>
          </w:tcPr>
          <w:p w:rsidR="00C507B5" w:rsidRPr="00B35198" w:rsidRDefault="00C507B5">
            <w:pPr>
              <w:rPr>
                <w:rFonts w:cstheme="minorHAnsi"/>
                <w:b/>
              </w:rPr>
            </w:pPr>
            <w:r w:rsidRPr="00B35198">
              <w:rPr>
                <w:rFonts w:cstheme="minorHAnsi"/>
                <w:b/>
              </w:rPr>
              <w:t>Medical Knowledge</w:t>
            </w:r>
          </w:p>
          <w:p w:rsidR="00C507B5" w:rsidRPr="00B35198" w:rsidRDefault="000C6D5F">
            <w:pPr>
              <w:rPr>
                <w:rFonts w:cstheme="minorHAnsi"/>
              </w:rPr>
            </w:pPr>
            <w:r w:rsidRPr="00B35198">
              <w:rPr>
                <w:rFonts w:cstheme="minorHAnsi"/>
              </w:rPr>
              <w:t>Acquires knowledge</w:t>
            </w:r>
            <w:r w:rsidR="007408B5" w:rsidRPr="00B35198">
              <w:rPr>
                <w:rFonts w:cstheme="minorHAnsi"/>
              </w:rPr>
              <w:t xml:space="preserve"> </w:t>
            </w:r>
            <w:r w:rsidRPr="00B35198">
              <w:rPr>
                <w:rFonts w:cstheme="minorHAnsi"/>
              </w:rPr>
              <w:t xml:space="preserve">of pathophysiology and laboratory manifestations of </w:t>
            </w:r>
            <w:r w:rsidR="007408B5" w:rsidRPr="00B35198">
              <w:rPr>
                <w:rFonts w:cstheme="minorHAnsi"/>
              </w:rPr>
              <w:t>common</w:t>
            </w:r>
            <w:r w:rsidR="00C0447B" w:rsidRPr="00B35198">
              <w:rPr>
                <w:rFonts w:cstheme="minorHAnsi"/>
              </w:rPr>
              <w:t xml:space="preserve"> and uncommon</w:t>
            </w:r>
            <w:r w:rsidR="009F7B46" w:rsidRPr="00B35198">
              <w:rPr>
                <w:rFonts w:cstheme="minorHAnsi"/>
              </w:rPr>
              <w:t xml:space="preserve"> </w:t>
            </w:r>
            <w:r w:rsidRPr="00B35198">
              <w:rPr>
                <w:rFonts w:cstheme="minorHAnsi"/>
              </w:rPr>
              <w:t>conditions; knows where to access information to fill gaps in knowledge.</w:t>
            </w:r>
          </w:p>
          <w:p w:rsidR="007408B5" w:rsidRPr="00B35198" w:rsidRDefault="007408B5">
            <w:pPr>
              <w:rPr>
                <w:rFonts w:cstheme="minorHAnsi"/>
              </w:rPr>
            </w:pPr>
            <w:r w:rsidRPr="00B35198">
              <w:rPr>
                <w:rFonts w:cstheme="minorHAnsi"/>
              </w:rPr>
              <w:t xml:space="preserve">Acquires knowledge of less commonly-encountered conditions and laboratory techniques; critically evaluates knowledge sources and uses evidence-based approach </w:t>
            </w:r>
          </w:p>
        </w:tc>
        <w:tc>
          <w:tcPr>
            <w:tcW w:w="9450" w:type="dxa"/>
            <w:shd w:val="clear" w:color="auto" w:fill="EAF1DD" w:themeFill="accent3" w:themeFillTint="33"/>
          </w:tcPr>
          <w:p w:rsidR="006D356B" w:rsidRPr="00B35198" w:rsidRDefault="00437FD6" w:rsidP="00661800">
            <w:pPr>
              <w:pStyle w:val="ListParagraph"/>
              <w:numPr>
                <w:ilvl w:val="0"/>
                <w:numId w:val="12"/>
              </w:numPr>
              <w:rPr>
                <w:rFonts w:cstheme="minorHAnsi"/>
              </w:rPr>
            </w:pPr>
            <w:r w:rsidRPr="00B35198">
              <w:rPr>
                <w:rFonts w:cstheme="minorHAnsi"/>
              </w:rPr>
              <w:t xml:space="preserve">Normal renal histology and structure function correlations using light and transmission electron microscopy. Recognize normal fluorescence staining. </w:t>
            </w:r>
          </w:p>
          <w:p w:rsidR="00437FD6" w:rsidRPr="00B35198" w:rsidRDefault="00437FD6" w:rsidP="00661800">
            <w:pPr>
              <w:pStyle w:val="ListParagraph"/>
              <w:numPr>
                <w:ilvl w:val="0"/>
                <w:numId w:val="12"/>
              </w:numPr>
              <w:rPr>
                <w:rFonts w:cstheme="minorHAnsi"/>
              </w:rPr>
            </w:pPr>
            <w:r w:rsidRPr="00B35198">
              <w:rPr>
                <w:rFonts w:cstheme="minorHAnsi"/>
              </w:rPr>
              <w:t>Identify abnormal tissue compartments and correlate these findings with clinical history and renal function.</w:t>
            </w:r>
          </w:p>
          <w:p w:rsidR="00437FD6" w:rsidRPr="00B35198" w:rsidRDefault="00437FD6" w:rsidP="00661800">
            <w:pPr>
              <w:pStyle w:val="ListParagraph"/>
              <w:numPr>
                <w:ilvl w:val="0"/>
                <w:numId w:val="12"/>
              </w:numPr>
              <w:rPr>
                <w:rFonts w:cstheme="minorHAnsi"/>
              </w:rPr>
            </w:pPr>
            <w:r w:rsidRPr="00B35198">
              <w:rPr>
                <w:rFonts w:cstheme="minorHAnsi"/>
              </w:rPr>
              <w:t>Recognize acute and chronic tubular injury.</w:t>
            </w:r>
          </w:p>
          <w:p w:rsidR="00437FD6" w:rsidRPr="00B35198" w:rsidRDefault="00437FD6" w:rsidP="00661800">
            <w:pPr>
              <w:pStyle w:val="ListParagraph"/>
              <w:numPr>
                <w:ilvl w:val="0"/>
                <w:numId w:val="12"/>
              </w:numPr>
              <w:rPr>
                <w:rFonts w:cstheme="minorHAnsi"/>
              </w:rPr>
            </w:pPr>
            <w:r w:rsidRPr="00B35198">
              <w:rPr>
                <w:rFonts w:cstheme="minorHAnsi"/>
              </w:rPr>
              <w:t>Recognize acute and chronic interstitial disease.</w:t>
            </w:r>
          </w:p>
          <w:p w:rsidR="00437FD6" w:rsidRPr="00B35198" w:rsidRDefault="00437FD6" w:rsidP="00661800">
            <w:pPr>
              <w:pStyle w:val="ListParagraph"/>
              <w:numPr>
                <w:ilvl w:val="0"/>
                <w:numId w:val="12"/>
              </w:numPr>
              <w:rPr>
                <w:rFonts w:cstheme="minorHAnsi"/>
              </w:rPr>
            </w:pPr>
            <w:r w:rsidRPr="00B35198">
              <w:rPr>
                <w:rFonts w:cstheme="minorHAnsi"/>
              </w:rPr>
              <w:t>Recognize acute and chronic vascular disease.</w:t>
            </w:r>
          </w:p>
          <w:p w:rsidR="00437FD6" w:rsidRPr="00B35198" w:rsidRDefault="00437FD6" w:rsidP="00661800">
            <w:pPr>
              <w:pStyle w:val="ListParagraph"/>
              <w:numPr>
                <w:ilvl w:val="0"/>
                <w:numId w:val="12"/>
              </w:numPr>
              <w:rPr>
                <w:rFonts w:cstheme="minorHAnsi"/>
              </w:rPr>
            </w:pPr>
            <w:r w:rsidRPr="00B35198">
              <w:rPr>
                <w:rFonts w:cstheme="minorHAnsi"/>
              </w:rPr>
              <w:t>Recognize glomerulosclerosis and glomerulonephritides including global sclerosis, focal segmental glomerulosclerosis, diabetic glomerulosclerosis, membranous glomerulopathy, crescentic glomerulonephritis due to pauci-immune, immune complex or anti-GBM etiologies.</w:t>
            </w:r>
          </w:p>
          <w:p w:rsidR="00437FD6" w:rsidRPr="00B35198" w:rsidRDefault="0015490A" w:rsidP="0015490A">
            <w:pPr>
              <w:pStyle w:val="ListParagraph"/>
              <w:numPr>
                <w:ilvl w:val="0"/>
                <w:numId w:val="12"/>
              </w:numPr>
              <w:rPr>
                <w:rFonts w:cstheme="minorHAnsi"/>
              </w:rPr>
            </w:pPr>
            <w:r w:rsidRPr="00B35198">
              <w:rPr>
                <w:rFonts w:cstheme="minorHAnsi"/>
              </w:rPr>
              <w:t>Recognize acute antibody and t-cell mediated transplant rejection.</w:t>
            </w:r>
          </w:p>
          <w:p w:rsidR="0015490A" w:rsidRPr="00B35198" w:rsidRDefault="0015490A" w:rsidP="0015490A">
            <w:pPr>
              <w:pStyle w:val="ListParagraph"/>
              <w:numPr>
                <w:ilvl w:val="0"/>
                <w:numId w:val="12"/>
              </w:numPr>
              <w:rPr>
                <w:rFonts w:cstheme="minorHAnsi"/>
              </w:rPr>
            </w:pPr>
            <w:r w:rsidRPr="00B35198">
              <w:rPr>
                <w:rFonts w:cstheme="minorHAnsi"/>
              </w:rPr>
              <w:t>Recognize infectious complications of renal transplantation.</w:t>
            </w:r>
          </w:p>
          <w:p w:rsidR="0015490A" w:rsidRPr="00B35198" w:rsidRDefault="0015490A" w:rsidP="0015490A">
            <w:pPr>
              <w:rPr>
                <w:rFonts w:cstheme="minorHAnsi"/>
              </w:rPr>
            </w:pPr>
          </w:p>
        </w:tc>
      </w:tr>
      <w:tr w:rsidR="00C507B5" w:rsidRPr="00B35198">
        <w:tc>
          <w:tcPr>
            <w:tcW w:w="4158" w:type="dxa"/>
            <w:shd w:val="clear" w:color="auto" w:fill="EAF1DD" w:themeFill="accent3" w:themeFillTint="33"/>
          </w:tcPr>
          <w:p w:rsidR="00C507B5" w:rsidRPr="00B35198" w:rsidRDefault="00C507B5">
            <w:pPr>
              <w:rPr>
                <w:rFonts w:cstheme="minorHAnsi"/>
                <w:b/>
              </w:rPr>
            </w:pPr>
            <w:r w:rsidRPr="00B35198">
              <w:rPr>
                <w:rFonts w:cstheme="minorHAnsi"/>
                <w:b/>
              </w:rPr>
              <w:t>Patient Care</w:t>
            </w:r>
          </w:p>
          <w:p w:rsidR="007408B5" w:rsidRPr="00B35198" w:rsidRDefault="00C507B5">
            <w:pPr>
              <w:rPr>
                <w:rFonts w:cstheme="minorHAnsi"/>
              </w:rPr>
            </w:pPr>
            <w:r w:rsidRPr="00B35198">
              <w:rPr>
                <w:rFonts w:cstheme="minorHAnsi"/>
              </w:rPr>
              <w:t>Is able to perform procedures necessary to generate laboratory information, gather clinical information needed to establish a diagnosis</w:t>
            </w:r>
            <w:r w:rsidR="00C0447B" w:rsidRPr="00B35198">
              <w:rPr>
                <w:rFonts w:cstheme="minorHAnsi"/>
              </w:rPr>
              <w:t xml:space="preserve"> or differential diagnosis</w:t>
            </w:r>
            <w:r w:rsidRPr="00B35198">
              <w:rPr>
                <w:rFonts w:cstheme="minorHAnsi"/>
              </w:rPr>
              <w:t xml:space="preserve">, </w:t>
            </w:r>
            <w:r w:rsidR="00C0447B" w:rsidRPr="00B35198">
              <w:rPr>
                <w:rFonts w:cstheme="minorHAnsi"/>
              </w:rPr>
              <w:t xml:space="preserve">and </w:t>
            </w:r>
            <w:r w:rsidR="00C0447B" w:rsidRPr="00B35198">
              <w:rPr>
                <w:rFonts w:cstheme="minorHAnsi"/>
              </w:rPr>
              <w:lastRenderedPageBreak/>
              <w:t xml:space="preserve">suggest appropriate ancillary studies.  Responds to requests for consultation. </w:t>
            </w:r>
          </w:p>
        </w:tc>
        <w:tc>
          <w:tcPr>
            <w:tcW w:w="9450" w:type="dxa"/>
            <w:shd w:val="clear" w:color="auto" w:fill="EAF1DD" w:themeFill="accent3" w:themeFillTint="33"/>
          </w:tcPr>
          <w:p w:rsidR="00C507B5" w:rsidRPr="00B35198" w:rsidRDefault="00C507B5" w:rsidP="00234B6E">
            <w:pPr>
              <w:rPr>
                <w:rFonts w:cstheme="minorHAnsi"/>
              </w:rPr>
            </w:pPr>
            <w:r w:rsidRPr="00B35198">
              <w:rPr>
                <w:rFonts w:cstheme="minorHAnsi"/>
              </w:rPr>
              <w:lastRenderedPageBreak/>
              <w:t xml:space="preserve">With appropriate supervision (see below), the resident will </w:t>
            </w:r>
          </w:p>
          <w:p w:rsidR="00645BDC" w:rsidRPr="00B35198" w:rsidRDefault="00645BDC" w:rsidP="00645BDC">
            <w:pPr>
              <w:pStyle w:val="ListParagraph"/>
              <w:numPr>
                <w:ilvl w:val="0"/>
                <w:numId w:val="12"/>
              </w:numPr>
              <w:rPr>
                <w:rFonts w:cstheme="minorHAnsi"/>
              </w:rPr>
            </w:pPr>
            <w:r w:rsidRPr="00B35198">
              <w:rPr>
                <w:rFonts w:cstheme="minorHAnsi"/>
              </w:rPr>
              <w:t xml:space="preserve">Understand the important considerations that affect the gross handling of </w:t>
            </w:r>
            <w:r w:rsidR="00242B3C" w:rsidRPr="00B35198">
              <w:rPr>
                <w:rFonts w:cstheme="minorHAnsi"/>
              </w:rPr>
              <w:t xml:space="preserve">kidney </w:t>
            </w:r>
            <w:r w:rsidRPr="00B35198">
              <w:rPr>
                <w:rFonts w:cstheme="minorHAnsi"/>
              </w:rPr>
              <w:t xml:space="preserve">specimens for </w:t>
            </w:r>
            <w:r w:rsidR="00242B3C" w:rsidRPr="00B35198">
              <w:rPr>
                <w:rFonts w:cstheme="minorHAnsi"/>
              </w:rPr>
              <w:t>medical renal disease</w:t>
            </w:r>
            <w:r w:rsidR="006D6DBF" w:rsidRPr="00B35198">
              <w:rPr>
                <w:rFonts w:cstheme="minorHAnsi"/>
              </w:rPr>
              <w:t>.</w:t>
            </w:r>
          </w:p>
          <w:p w:rsidR="006D6DBF" w:rsidRPr="00B35198" w:rsidRDefault="006D6DBF" w:rsidP="006D6DBF">
            <w:pPr>
              <w:pStyle w:val="ListParagraph"/>
              <w:numPr>
                <w:ilvl w:val="0"/>
                <w:numId w:val="2"/>
              </w:numPr>
              <w:rPr>
                <w:rFonts w:eastAsiaTheme="minorHAnsi" w:cstheme="minorHAnsi"/>
              </w:rPr>
            </w:pPr>
            <w:r w:rsidRPr="00B35198">
              <w:rPr>
                <w:rFonts w:eastAsiaTheme="minorHAnsi" w:cstheme="minorHAnsi"/>
              </w:rPr>
              <w:t>Review prepared slides and dictate preliminary reports in the correct format, correlating histologic findings with clinical findings.</w:t>
            </w:r>
          </w:p>
          <w:p w:rsidR="006D6DBF" w:rsidRPr="00B35198" w:rsidRDefault="006D6DBF" w:rsidP="006D6DBF">
            <w:pPr>
              <w:numPr>
                <w:ilvl w:val="0"/>
                <w:numId w:val="2"/>
              </w:numPr>
              <w:spacing w:after="200" w:line="276" w:lineRule="auto"/>
              <w:contextualSpacing/>
              <w:rPr>
                <w:rFonts w:eastAsiaTheme="minorHAnsi" w:cstheme="minorHAnsi"/>
              </w:rPr>
            </w:pPr>
            <w:r w:rsidRPr="00B35198">
              <w:rPr>
                <w:rFonts w:eastAsiaTheme="minorHAnsi" w:cstheme="minorHAnsi"/>
              </w:rPr>
              <w:lastRenderedPageBreak/>
              <w:t>Obtain clinical history from the EMR when needed</w:t>
            </w:r>
          </w:p>
          <w:p w:rsidR="003E5339" w:rsidRPr="00B35198" w:rsidRDefault="006D6DBF" w:rsidP="00242B3C">
            <w:pPr>
              <w:numPr>
                <w:ilvl w:val="0"/>
                <w:numId w:val="2"/>
              </w:numPr>
              <w:spacing w:after="200" w:line="276" w:lineRule="auto"/>
              <w:contextualSpacing/>
              <w:rPr>
                <w:rFonts w:eastAsiaTheme="minorHAnsi" w:cstheme="minorHAnsi"/>
              </w:rPr>
            </w:pPr>
            <w:r w:rsidRPr="00B35198">
              <w:rPr>
                <w:rFonts w:eastAsiaTheme="minorHAnsi" w:cstheme="minorHAnsi"/>
              </w:rPr>
              <w:t>Order additional studies after discussion with faculty, and keep pending cases organized until completed</w:t>
            </w:r>
          </w:p>
        </w:tc>
      </w:tr>
      <w:tr w:rsidR="00C507B5" w:rsidRPr="00B35198">
        <w:trPr>
          <w:trHeight w:val="962"/>
        </w:trPr>
        <w:tc>
          <w:tcPr>
            <w:tcW w:w="4158" w:type="dxa"/>
            <w:shd w:val="clear" w:color="auto" w:fill="EAF1DD" w:themeFill="accent3" w:themeFillTint="33"/>
          </w:tcPr>
          <w:p w:rsidR="00C507B5" w:rsidRPr="00B35198" w:rsidRDefault="00C507B5">
            <w:pPr>
              <w:rPr>
                <w:rFonts w:cstheme="minorHAnsi"/>
                <w:b/>
              </w:rPr>
            </w:pPr>
            <w:r w:rsidRPr="00B35198">
              <w:rPr>
                <w:rFonts w:cstheme="minorHAnsi"/>
                <w:b/>
              </w:rPr>
              <w:lastRenderedPageBreak/>
              <w:t>Practice-based Learning and Improvement</w:t>
            </w:r>
          </w:p>
          <w:p w:rsidR="00C507B5" w:rsidRPr="00B35198" w:rsidRDefault="00C507B5">
            <w:pPr>
              <w:rPr>
                <w:rFonts w:cstheme="minorHAnsi"/>
              </w:rPr>
            </w:pPr>
            <w:r w:rsidRPr="00B35198">
              <w:rPr>
                <w:rFonts w:cstheme="minorHAnsi"/>
              </w:rPr>
              <w:t>Uses feedback and evaluations to generate or modify l</w:t>
            </w:r>
            <w:r w:rsidR="00C0447B" w:rsidRPr="00B35198">
              <w:rPr>
                <w:rFonts w:cstheme="minorHAnsi"/>
              </w:rPr>
              <w:t>earning plan and improve skills,</w:t>
            </w:r>
          </w:p>
          <w:p w:rsidR="007408B5" w:rsidRPr="00B35198" w:rsidRDefault="007408B5">
            <w:pPr>
              <w:rPr>
                <w:rFonts w:cstheme="minorHAnsi"/>
              </w:rPr>
            </w:pPr>
            <w:r w:rsidRPr="00B35198">
              <w:rPr>
                <w:rFonts w:cstheme="minorHAnsi"/>
              </w:rPr>
              <w:t>Adapts practices based on literature review, case outcomes, peer reviews, and system demands; seeks and gives feedback to improve self and others.</w:t>
            </w:r>
          </w:p>
        </w:tc>
        <w:tc>
          <w:tcPr>
            <w:tcW w:w="9450" w:type="dxa"/>
            <w:shd w:val="clear" w:color="auto" w:fill="EAF1DD" w:themeFill="accent3" w:themeFillTint="33"/>
          </w:tcPr>
          <w:p w:rsidR="00C507B5" w:rsidRPr="00B35198" w:rsidRDefault="00C507B5">
            <w:pPr>
              <w:rPr>
                <w:rFonts w:cstheme="minorHAnsi"/>
              </w:rPr>
            </w:pPr>
            <w:r w:rsidRPr="00B35198">
              <w:rPr>
                <w:rFonts w:cstheme="minorHAnsi"/>
              </w:rPr>
              <w:t>The  resident:</w:t>
            </w:r>
          </w:p>
          <w:p w:rsidR="006D6DBF" w:rsidRPr="00B35198" w:rsidRDefault="006D6DBF" w:rsidP="006D6DBF">
            <w:pPr>
              <w:pStyle w:val="ListParagraph"/>
              <w:numPr>
                <w:ilvl w:val="0"/>
                <w:numId w:val="3"/>
              </w:numPr>
              <w:rPr>
                <w:rFonts w:cstheme="minorHAnsi"/>
              </w:rPr>
            </w:pPr>
            <w:r w:rsidRPr="00B35198">
              <w:rPr>
                <w:rFonts w:cstheme="minorHAnsi"/>
              </w:rPr>
              <w:t>Uses feedback from preliminary diagnostic errors to improve diagnostic accuracy</w:t>
            </w:r>
          </w:p>
          <w:p w:rsidR="006D6DBF" w:rsidRPr="00B35198" w:rsidRDefault="006D6DBF" w:rsidP="006D6DBF">
            <w:pPr>
              <w:pStyle w:val="ListParagraph"/>
              <w:numPr>
                <w:ilvl w:val="0"/>
                <w:numId w:val="3"/>
              </w:numPr>
              <w:rPr>
                <w:rFonts w:cstheme="minorHAnsi"/>
              </w:rPr>
            </w:pPr>
            <w:r w:rsidRPr="00B35198">
              <w:rPr>
                <w:rFonts w:cstheme="minorHAnsi"/>
              </w:rPr>
              <w:t>Asks questions and seeks guidance in building medical knowledge and improving patient care skills</w:t>
            </w:r>
          </w:p>
          <w:p w:rsidR="000D4B4E" w:rsidRPr="00B35198" w:rsidRDefault="006D6DBF" w:rsidP="000D4B4E">
            <w:pPr>
              <w:pStyle w:val="ListParagraph"/>
              <w:numPr>
                <w:ilvl w:val="0"/>
                <w:numId w:val="3"/>
              </w:numPr>
              <w:rPr>
                <w:rFonts w:cstheme="minorHAnsi"/>
              </w:rPr>
            </w:pPr>
            <w:r w:rsidRPr="00B35198">
              <w:rPr>
                <w:rFonts w:cstheme="minorHAnsi"/>
              </w:rPr>
              <w:t>Accesses learning sources (textbooks, medical literature, online resources) to fill gaps in medical knowledge that come to light during case discussions</w:t>
            </w:r>
          </w:p>
          <w:p w:rsidR="000D4B4E" w:rsidRPr="00B35198" w:rsidRDefault="006D6DBF" w:rsidP="000D4B4E">
            <w:pPr>
              <w:pStyle w:val="ListParagraph"/>
              <w:numPr>
                <w:ilvl w:val="0"/>
                <w:numId w:val="3"/>
              </w:numPr>
              <w:rPr>
                <w:rFonts w:cstheme="minorHAnsi"/>
              </w:rPr>
            </w:pPr>
            <w:r w:rsidRPr="00B35198">
              <w:rPr>
                <w:rFonts w:cstheme="minorHAnsi"/>
              </w:rPr>
              <w:t>Develops increasingly efficient case management</w:t>
            </w:r>
          </w:p>
          <w:p w:rsidR="006D6DBF" w:rsidRPr="00B35198" w:rsidRDefault="006D6DBF" w:rsidP="000D4B4E">
            <w:pPr>
              <w:pStyle w:val="ListParagraph"/>
              <w:numPr>
                <w:ilvl w:val="0"/>
                <w:numId w:val="3"/>
              </w:numPr>
              <w:rPr>
                <w:rFonts w:cstheme="minorHAnsi"/>
              </w:rPr>
            </w:pPr>
            <w:r w:rsidRPr="00B35198">
              <w:rPr>
                <w:rFonts w:cstheme="minorHAnsi"/>
              </w:rPr>
              <w:t>Accesses learning sources (textbooks, medical literature, online resources) to fill gaps in medical knowledge before coming to signout.</w:t>
            </w:r>
          </w:p>
        </w:tc>
      </w:tr>
      <w:tr w:rsidR="00C507B5" w:rsidRPr="00B35198">
        <w:tc>
          <w:tcPr>
            <w:tcW w:w="4158" w:type="dxa"/>
            <w:shd w:val="clear" w:color="auto" w:fill="EAF1DD" w:themeFill="accent3" w:themeFillTint="33"/>
          </w:tcPr>
          <w:p w:rsidR="00C507B5" w:rsidRPr="00B35198" w:rsidRDefault="00C507B5">
            <w:pPr>
              <w:rPr>
                <w:rFonts w:cstheme="minorHAnsi"/>
                <w:b/>
              </w:rPr>
            </w:pPr>
            <w:r w:rsidRPr="00B35198">
              <w:rPr>
                <w:rFonts w:cstheme="minorHAnsi"/>
                <w:b/>
              </w:rPr>
              <w:t>Interpersonal and Communication Skills</w:t>
            </w:r>
          </w:p>
          <w:p w:rsidR="00C507B5" w:rsidRPr="00B35198" w:rsidRDefault="00C507B5">
            <w:pPr>
              <w:rPr>
                <w:rFonts w:cstheme="minorHAnsi"/>
              </w:rPr>
            </w:pPr>
            <w:r w:rsidRPr="00B35198">
              <w:rPr>
                <w:rFonts w:cstheme="minorHAnsi"/>
              </w:rPr>
              <w:t>Establishes collegial interactive and communication skills in dealing with others; st</w:t>
            </w:r>
            <w:r w:rsidR="00C0447B" w:rsidRPr="00B35198">
              <w:rPr>
                <w:rFonts w:cstheme="minorHAnsi"/>
              </w:rPr>
              <w:t>ructures reports that are clear, informative, and</w:t>
            </w:r>
            <w:r w:rsidRPr="00B35198">
              <w:rPr>
                <w:rFonts w:cstheme="minorHAnsi"/>
              </w:rPr>
              <w:t xml:space="preserve"> succinct; listens to and fulfills requests from other providers.</w:t>
            </w:r>
          </w:p>
          <w:p w:rsidR="007408B5" w:rsidRPr="00B35198" w:rsidRDefault="007408B5">
            <w:pPr>
              <w:rPr>
                <w:rFonts w:cstheme="minorHAnsi"/>
              </w:rPr>
            </w:pPr>
            <w:r w:rsidRPr="00B35198">
              <w:rPr>
                <w:rFonts w:cstheme="minorHAnsi"/>
              </w:rPr>
              <w:t xml:space="preserve">Effectively communicates in a variety of settings, including during conferences, while providing consultations, and teaching peers.  </w:t>
            </w:r>
          </w:p>
        </w:tc>
        <w:tc>
          <w:tcPr>
            <w:tcW w:w="9450" w:type="dxa"/>
            <w:shd w:val="clear" w:color="auto" w:fill="EAF1DD" w:themeFill="accent3" w:themeFillTint="33"/>
          </w:tcPr>
          <w:p w:rsidR="00C507B5" w:rsidRPr="00B35198" w:rsidRDefault="00C507B5">
            <w:pPr>
              <w:rPr>
                <w:rFonts w:cstheme="minorHAnsi"/>
              </w:rPr>
            </w:pPr>
            <w:r w:rsidRPr="00B35198">
              <w:rPr>
                <w:rFonts w:cstheme="minorHAnsi"/>
              </w:rPr>
              <w:t>The resident will</w:t>
            </w:r>
          </w:p>
          <w:p w:rsidR="006D6DBF" w:rsidRPr="00B35198" w:rsidRDefault="006D6DBF" w:rsidP="006D6DBF">
            <w:pPr>
              <w:numPr>
                <w:ilvl w:val="0"/>
                <w:numId w:val="4"/>
              </w:numPr>
              <w:spacing w:after="200" w:line="276" w:lineRule="auto"/>
              <w:contextualSpacing/>
              <w:rPr>
                <w:rFonts w:eastAsiaTheme="minorHAnsi" w:cstheme="minorHAnsi"/>
              </w:rPr>
            </w:pPr>
            <w:r w:rsidRPr="00B35198">
              <w:rPr>
                <w:rFonts w:eastAsiaTheme="minorHAnsi" w:cstheme="minorHAnsi"/>
              </w:rPr>
              <w:t>Interact in a collegial way with technical staff, including histotechnologists, pathology assistants, and transcriptionists, with goal of providing optimal patient care</w:t>
            </w:r>
          </w:p>
          <w:p w:rsidR="006D6DBF" w:rsidRPr="00B35198" w:rsidRDefault="006D6DBF" w:rsidP="006D6DBF">
            <w:pPr>
              <w:numPr>
                <w:ilvl w:val="0"/>
                <w:numId w:val="4"/>
              </w:numPr>
              <w:spacing w:after="200" w:line="276" w:lineRule="auto"/>
              <w:contextualSpacing/>
              <w:rPr>
                <w:rFonts w:eastAsiaTheme="minorHAnsi" w:cstheme="minorHAnsi"/>
              </w:rPr>
            </w:pPr>
            <w:r w:rsidRPr="00B35198">
              <w:rPr>
                <w:rFonts w:eastAsiaTheme="minorHAnsi" w:cstheme="minorHAnsi"/>
              </w:rPr>
              <w:t>Volunteer his/her opinion of cases to faculty, using correct terminology</w:t>
            </w:r>
          </w:p>
          <w:p w:rsidR="006D6DBF" w:rsidRPr="00B35198" w:rsidRDefault="006D6DBF" w:rsidP="006D6DBF">
            <w:pPr>
              <w:numPr>
                <w:ilvl w:val="0"/>
                <w:numId w:val="4"/>
              </w:numPr>
              <w:spacing w:after="200" w:line="276" w:lineRule="auto"/>
              <w:contextualSpacing/>
              <w:rPr>
                <w:rFonts w:eastAsiaTheme="minorHAnsi" w:cstheme="minorHAnsi"/>
              </w:rPr>
            </w:pPr>
            <w:r w:rsidRPr="00B35198">
              <w:rPr>
                <w:rFonts w:eastAsiaTheme="minorHAnsi" w:cstheme="minorHAnsi"/>
              </w:rPr>
              <w:t>Dictate  diagnoses that use accepted terminology, are easy to understand, and that relay the information important to patient management</w:t>
            </w:r>
          </w:p>
          <w:p w:rsidR="00C507B5" w:rsidRPr="00B35198" w:rsidRDefault="006D6DBF" w:rsidP="006D6DBF">
            <w:pPr>
              <w:numPr>
                <w:ilvl w:val="0"/>
                <w:numId w:val="4"/>
              </w:numPr>
              <w:spacing w:after="200" w:line="276" w:lineRule="auto"/>
              <w:contextualSpacing/>
              <w:rPr>
                <w:rFonts w:eastAsiaTheme="minorHAnsi" w:cstheme="minorHAnsi"/>
              </w:rPr>
            </w:pPr>
            <w:r w:rsidRPr="00B35198">
              <w:rPr>
                <w:rFonts w:eastAsiaTheme="minorHAnsi" w:cstheme="minorHAnsi"/>
              </w:rPr>
              <w:t>With direction, notify treating physicians of unexpected diagnoses</w:t>
            </w:r>
          </w:p>
          <w:p w:rsidR="006D6DBF" w:rsidRPr="00B35198" w:rsidRDefault="006D6DBF" w:rsidP="000D4B4E">
            <w:pPr>
              <w:numPr>
                <w:ilvl w:val="0"/>
                <w:numId w:val="4"/>
              </w:numPr>
              <w:spacing w:after="200" w:line="276" w:lineRule="auto"/>
              <w:contextualSpacing/>
              <w:rPr>
                <w:rFonts w:eastAsiaTheme="minorHAnsi" w:cstheme="minorHAnsi"/>
              </w:rPr>
            </w:pPr>
            <w:r w:rsidRPr="00B35198">
              <w:rPr>
                <w:rFonts w:eastAsiaTheme="minorHAnsi" w:cstheme="minorHAnsi"/>
              </w:rPr>
              <w:t>Volunteer his/her opinion of cases to faculty, with explanations of rationale</w:t>
            </w:r>
          </w:p>
        </w:tc>
      </w:tr>
      <w:tr w:rsidR="00C507B5" w:rsidRPr="00B35198">
        <w:tc>
          <w:tcPr>
            <w:tcW w:w="4158" w:type="dxa"/>
            <w:shd w:val="clear" w:color="auto" w:fill="EAF1DD" w:themeFill="accent3" w:themeFillTint="33"/>
          </w:tcPr>
          <w:p w:rsidR="00C507B5" w:rsidRPr="00B35198" w:rsidRDefault="00C507B5">
            <w:pPr>
              <w:rPr>
                <w:rFonts w:cstheme="minorHAnsi"/>
                <w:b/>
              </w:rPr>
            </w:pPr>
            <w:r w:rsidRPr="00B35198">
              <w:rPr>
                <w:rFonts w:cstheme="minorHAnsi"/>
                <w:b/>
              </w:rPr>
              <w:t>Professionalism</w:t>
            </w:r>
          </w:p>
          <w:p w:rsidR="007408B5" w:rsidRPr="00B35198" w:rsidRDefault="000C6D5F">
            <w:pPr>
              <w:rPr>
                <w:rFonts w:cstheme="minorHAnsi"/>
              </w:rPr>
            </w:pPr>
            <w:r w:rsidRPr="00B35198">
              <w:rPr>
                <w:rFonts w:cstheme="minorHAnsi"/>
              </w:rPr>
              <w:t xml:space="preserve">Is honest, compassionate, and respectful of others; complies with laws and regulations pertaining to medical practice; fulfills patient care and educational responsibilities faithfully. </w:t>
            </w:r>
          </w:p>
          <w:p w:rsidR="007408B5" w:rsidRPr="00B35198" w:rsidRDefault="000C6D5F">
            <w:pPr>
              <w:rPr>
                <w:rFonts w:cstheme="minorHAnsi"/>
              </w:rPr>
            </w:pPr>
            <w:r w:rsidRPr="00B35198">
              <w:rPr>
                <w:rFonts w:cstheme="minorHAnsi"/>
              </w:rPr>
              <w:t>Understands professional responsibility to appear for duty rested and fit to provide service.</w:t>
            </w:r>
            <w:r w:rsidR="00C0447B" w:rsidRPr="00B35198">
              <w:rPr>
                <w:rFonts w:cstheme="minorHAnsi"/>
              </w:rPr>
              <w:t xml:space="preserve"> R</w:t>
            </w:r>
            <w:r w:rsidR="007408B5" w:rsidRPr="00B35198">
              <w:rPr>
                <w:rFonts w:cstheme="minorHAnsi"/>
              </w:rPr>
              <w:t>ecognizes and responds to need for help from colleagues.</w:t>
            </w:r>
          </w:p>
        </w:tc>
        <w:tc>
          <w:tcPr>
            <w:tcW w:w="9450" w:type="dxa"/>
            <w:shd w:val="clear" w:color="auto" w:fill="EAF1DD" w:themeFill="accent3" w:themeFillTint="33"/>
          </w:tcPr>
          <w:p w:rsidR="00C507B5" w:rsidRPr="00B35198" w:rsidRDefault="00C507B5" w:rsidP="006F34C0">
            <w:pPr>
              <w:rPr>
                <w:rFonts w:cstheme="minorHAnsi"/>
              </w:rPr>
            </w:pPr>
            <w:r w:rsidRPr="00B35198">
              <w:rPr>
                <w:rFonts w:cstheme="minorHAnsi"/>
              </w:rPr>
              <w:t>The resident:</w:t>
            </w:r>
          </w:p>
          <w:p w:rsidR="006D6DBF" w:rsidRPr="00B35198" w:rsidRDefault="006D6DBF" w:rsidP="006D6DBF">
            <w:pPr>
              <w:numPr>
                <w:ilvl w:val="0"/>
                <w:numId w:val="5"/>
              </w:numPr>
              <w:spacing w:after="200" w:line="276" w:lineRule="auto"/>
              <w:contextualSpacing/>
              <w:rPr>
                <w:rFonts w:eastAsiaTheme="minorHAnsi" w:cstheme="minorHAnsi"/>
              </w:rPr>
            </w:pPr>
            <w:r w:rsidRPr="00B35198">
              <w:rPr>
                <w:rFonts w:eastAsiaTheme="minorHAnsi" w:cstheme="minorHAnsi"/>
              </w:rPr>
              <w:t>Is present and ready for signout at the agreed time</w:t>
            </w:r>
          </w:p>
          <w:p w:rsidR="006D6DBF" w:rsidRPr="00B35198" w:rsidRDefault="006D6DBF" w:rsidP="006D6DBF">
            <w:pPr>
              <w:numPr>
                <w:ilvl w:val="0"/>
                <w:numId w:val="5"/>
              </w:numPr>
              <w:spacing w:after="200" w:line="276" w:lineRule="auto"/>
              <w:contextualSpacing/>
              <w:rPr>
                <w:rFonts w:eastAsiaTheme="minorHAnsi" w:cstheme="minorHAnsi"/>
              </w:rPr>
            </w:pPr>
            <w:r w:rsidRPr="00B35198">
              <w:rPr>
                <w:rFonts w:eastAsiaTheme="minorHAnsi" w:cstheme="minorHAnsi"/>
              </w:rPr>
              <w:t>Admits errors or omissions and takes steps to correct them</w:t>
            </w:r>
          </w:p>
          <w:p w:rsidR="006D6DBF" w:rsidRPr="00B35198" w:rsidRDefault="006D6DBF" w:rsidP="006D6DBF">
            <w:pPr>
              <w:numPr>
                <w:ilvl w:val="0"/>
                <w:numId w:val="5"/>
              </w:numPr>
              <w:spacing w:after="200" w:line="276" w:lineRule="auto"/>
              <w:contextualSpacing/>
              <w:rPr>
                <w:rFonts w:eastAsiaTheme="minorHAnsi" w:cstheme="minorHAnsi"/>
              </w:rPr>
            </w:pPr>
            <w:r w:rsidRPr="00B35198">
              <w:rPr>
                <w:rFonts w:eastAsiaTheme="minorHAnsi" w:cstheme="minorHAnsi"/>
              </w:rPr>
              <w:t>Protects patient privacy</w:t>
            </w:r>
          </w:p>
          <w:p w:rsidR="000D4B4E" w:rsidRPr="00B35198" w:rsidRDefault="006D6DBF" w:rsidP="000D4B4E">
            <w:pPr>
              <w:numPr>
                <w:ilvl w:val="0"/>
                <w:numId w:val="5"/>
              </w:numPr>
              <w:spacing w:after="200" w:line="276" w:lineRule="auto"/>
              <w:contextualSpacing/>
              <w:rPr>
                <w:rFonts w:eastAsiaTheme="minorHAnsi" w:cstheme="minorHAnsi"/>
              </w:rPr>
            </w:pPr>
            <w:r w:rsidRPr="00B35198">
              <w:rPr>
                <w:rFonts w:eastAsiaTheme="minorHAnsi" w:cstheme="minorHAnsi"/>
              </w:rPr>
              <w:t>Is sensitive to issues of race, gender, ethnic background, religion, sexual orientation and other social factors in dealing with patient care and in interactions with other providers and other learners</w:t>
            </w:r>
          </w:p>
          <w:p w:rsidR="00C507B5" w:rsidRPr="00B35198" w:rsidRDefault="006D6DBF" w:rsidP="000D4B4E">
            <w:pPr>
              <w:numPr>
                <w:ilvl w:val="0"/>
                <w:numId w:val="5"/>
              </w:numPr>
              <w:spacing w:after="200" w:line="276" w:lineRule="auto"/>
              <w:contextualSpacing/>
              <w:rPr>
                <w:rFonts w:eastAsiaTheme="minorHAnsi" w:cstheme="minorHAnsi"/>
              </w:rPr>
            </w:pPr>
            <w:r w:rsidRPr="00B35198">
              <w:rPr>
                <w:rFonts w:eastAsiaTheme="minorHAnsi" w:cstheme="minorHAnsi"/>
              </w:rPr>
              <w:t>Treats colleagues  at all levels with respect</w:t>
            </w:r>
          </w:p>
        </w:tc>
      </w:tr>
      <w:tr w:rsidR="00C507B5" w:rsidRPr="00B35198">
        <w:tc>
          <w:tcPr>
            <w:tcW w:w="4158" w:type="dxa"/>
            <w:shd w:val="clear" w:color="auto" w:fill="EAF1DD" w:themeFill="accent3" w:themeFillTint="33"/>
          </w:tcPr>
          <w:p w:rsidR="00C507B5" w:rsidRPr="00B35198" w:rsidRDefault="00C507B5">
            <w:pPr>
              <w:rPr>
                <w:rFonts w:cstheme="minorHAnsi"/>
                <w:b/>
              </w:rPr>
            </w:pPr>
            <w:r w:rsidRPr="00B35198">
              <w:rPr>
                <w:rFonts w:cstheme="minorHAnsi"/>
                <w:b/>
              </w:rPr>
              <w:t>Systems-based Practice</w:t>
            </w:r>
          </w:p>
          <w:p w:rsidR="007408B5" w:rsidRPr="00B35198" w:rsidRDefault="000C6D5F">
            <w:pPr>
              <w:rPr>
                <w:rFonts w:cstheme="minorHAnsi"/>
              </w:rPr>
            </w:pPr>
            <w:r w:rsidRPr="00B35198">
              <w:rPr>
                <w:rFonts w:cstheme="minorHAnsi"/>
              </w:rPr>
              <w:lastRenderedPageBreak/>
              <w:t xml:space="preserve">Identifies issues related to error, cost, and the need for interdisciplinary collaboration in the delivery of health care. </w:t>
            </w:r>
          </w:p>
        </w:tc>
        <w:tc>
          <w:tcPr>
            <w:tcW w:w="9450" w:type="dxa"/>
            <w:shd w:val="clear" w:color="auto" w:fill="EAF1DD" w:themeFill="accent3" w:themeFillTint="33"/>
          </w:tcPr>
          <w:p w:rsidR="00C507B5" w:rsidRPr="00B35198" w:rsidRDefault="00C507B5">
            <w:pPr>
              <w:rPr>
                <w:rFonts w:cstheme="minorHAnsi"/>
              </w:rPr>
            </w:pPr>
            <w:r w:rsidRPr="00B35198">
              <w:rPr>
                <w:rFonts w:cstheme="minorHAnsi"/>
              </w:rPr>
              <w:lastRenderedPageBreak/>
              <w:t>The resident:</w:t>
            </w:r>
          </w:p>
          <w:p w:rsidR="006D6DBF" w:rsidRPr="00B35198" w:rsidRDefault="006D6DBF" w:rsidP="006D6DBF">
            <w:pPr>
              <w:numPr>
                <w:ilvl w:val="0"/>
                <w:numId w:val="6"/>
              </w:numPr>
              <w:spacing w:after="200" w:line="276" w:lineRule="auto"/>
              <w:contextualSpacing/>
              <w:rPr>
                <w:rFonts w:eastAsiaTheme="minorHAnsi" w:cstheme="minorHAnsi"/>
              </w:rPr>
            </w:pPr>
            <w:r w:rsidRPr="00B35198">
              <w:rPr>
                <w:rFonts w:eastAsiaTheme="minorHAnsi" w:cstheme="minorHAnsi"/>
              </w:rPr>
              <w:lastRenderedPageBreak/>
              <w:t>Is vigilant regarding possible specimen, slide, or identification errors and takes steps to investigate and resolve potential errors</w:t>
            </w:r>
          </w:p>
          <w:p w:rsidR="006D6DBF" w:rsidRPr="00B35198" w:rsidRDefault="006D6DBF" w:rsidP="006D6DBF">
            <w:pPr>
              <w:numPr>
                <w:ilvl w:val="0"/>
                <w:numId w:val="6"/>
              </w:numPr>
              <w:spacing w:after="200" w:line="276" w:lineRule="auto"/>
              <w:contextualSpacing/>
              <w:rPr>
                <w:rFonts w:eastAsiaTheme="minorHAnsi" w:cstheme="minorHAnsi"/>
              </w:rPr>
            </w:pPr>
            <w:r w:rsidRPr="00B35198">
              <w:rPr>
                <w:rFonts w:eastAsiaTheme="minorHAnsi" w:cstheme="minorHAnsi"/>
              </w:rPr>
              <w:t>Accurately assigns billing codes and quality codes to cases, and understands the role of these codes</w:t>
            </w:r>
          </w:p>
          <w:p w:rsidR="000D4B4E" w:rsidRPr="00B35198" w:rsidRDefault="006D6DBF" w:rsidP="000D4B4E">
            <w:pPr>
              <w:numPr>
                <w:ilvl w:val="0"/>
                <w:numId w:val="6"/>
              </w:numPr>
              <w:spacing w:after="200" w:line="276" w:lineRule="auto"/>
              <w:contextualSpacing/>
              <w:rPr>
                <w:rFonts w:eastAsiaTheme="minorHAnsi" w:cstheme="minorHAnsi"/>
              </w:rPr>
            </w:pPr>
            <w:r w:rsidRPr="00B35198">
              <w:rPr>
                <w:rFonts w:eastAsiaTheme="minorHAnsi" w:cstheme="minorHAnsi"/>
              </w:rPr>
              <w:t>Discusses the cost-effectiveness in the selection of ancillary studies.</w:t>
            </w:r>
          </w:p>
          <w:p w:rsidR="00C507B5" w:rsidRPr="00B35198" w:rsidRDefault="006D6DBF" w:rsidP="000D4B4E">
            <w:pPr>
              <w:numPr>
                <w:ilvl w:val="0"/>
                <w:numId w:val="6"/>
              </w:numPr>
              <w:spacing w:after="200" w:line="276" w:lineRule="auto"/>
              <w:contextualSpacing/>
              <w:rPr>
                <w:rFonts w:eastAsiaTheme="minorHAnsi" w:cstheme="minorHAnsi"/>
              </w:rPr>
            </w:pPr>
            <w:r w:rsidRPr="00B35198">
              <w:rPr>
                <w:rFonts w:eastAsiaTheme="minorHAnsi" w:cstheme="minorHAnsi"/>
              </w:rPr>
              <w:t>Understands the value of intradepartmental consultation and collaboration with other departments and specialties in delivering optimal patient care.</w:t>
            </w:r>
          </w:p>
        </w:tc>
      </w:tr>
    </w:tbl>
    <w:p w:rsidR="006074A7" w:rsidRPr="00B35198" w:rsidRDefault="006074A7">
      <w:pPr>
        <w:rPr>
          <w:rFonts w:cstheme="minorHAnsi"/>
        </w:rPr>
      </w:pPr>
    </w:p>
    <w:p w:rsidR="00AF0AD9" w:rsidRPr="00B35198" w:rsidRDefault="00AF0AD9">
      <w:pPr>
        <w:rPr>
          <w:rFonts w:cstheme="minorHAnsi"/>
        </w:rPr>
      </w:pPr>
    </w:p>
    <w:p w:rsidR="001B790E" w:rsidRPr="00B35198" w:rsidRDefault="001B790E">
      <w:pPr>
        <w:rPr>
          <w:rFonts w:cstheme="minorHAnsi"/>
          <w:b/>
        </w:rPr>
      </w:pPr>
      <w:r w:rsidRPr="00B35198">
        <w:rPr>
          <w:rFonts w:cstheme="minorHAnsi"/>
          <w:b/>
        </w:rPr>
        <w:t>Plan</w:t>
      </w:r>
      <w:r w:rsidR="00AB451A" w:rsidRPr="00B35198">
        <w:rPr>
          <w:rFonts w:cstheme="minorHAnsi"/>
          <w:b/>
        </w:rPr>
        <w:t xml:space="preserve"> for Training</w:t>
      </w:r>
    </w:p>
    <w:p w:rsidR="00242B3C" w:rsidRPr="00B35198" w:rsidRDefault="00242B3C" w:rsidP="00242B3C">
      <w:pPr>
        <w:jc w:val="both"/>
        <w:rPr>
          <w:rFonts w:cstheme="minorHAnsi"/>
        </w:rPr>
      </w:pPr>
      <w:r w:rsidRPr="00B35198">
        <w:rPr>
          <w:rFonts w:cstheme="minorHAnsi"/>
        </w:rPr>
        <w:t>Instruction in Renal Pathology is a 2 week rotation incorporating histologic examination of specimens.  In addition, formal conferences are presented to residents (see individual sections for details), as well as study sets.  Residents interact with faculty and residents from Nephrology and Urology on a regular basis.</w:t>
      </w:r>
    </w:p>
    <w:p w:rsidR="001B790E" w:rsidRPr="00B35198" w:rsidRDefault="001B790E">
      <w:pPr>
        <w:rPr>
          <w:rFonts w:cstheme="minorHAnsi"/>
          <w:b/>
        </w:rPr>
      </w:pPr>
      <w:r w:rsidRPr="00B35198">
        <w:rPr>
          <w:rFonts w:cstheme="minorHAnsi"/>
          <w:b/>
        </w:rPr>
        <w:t>Supervision</w:t>
      </w:r>
      <w:r w:rsidR="0024355D" w:rsidRPr="00B35198">
        <w:rPr>
          <w:rFonts w:cstheme="minorHAnsi"/>
          <w:b/>
        </w:rPr>
        <w:t xml:space="preserve"> </w:t>
      </w:r>
    </w:p>
    <w:p w:rsidR="000D4B4E" w:rsidRPr="00B35198" w:rsidRDefault="000D4B4E" w:rsidP="000D4B4E">
      <w:pPr>
        <w:ind w:left="360"/>
        <w:rPr>
          <w:rFonts w:eastAsiaTheme="minorHAnsi" w:cstheme="minorHAnsi"/>
        </w:rPr>
      </w:pPr>
      <w:r w:rsidRPr="00B35198">
        <w:rPr>
          <w:rFonts w:eastAsiaTheme="minorHAnsi" w:cstheme="minorHAnsi"/>
        </w:rPr>
        <w:t xml:space="preserve">The following activities are to be conducted with </w:t>
      </w:r>
      <w:r w:rsidRPr="00B35198">
        <w:rPr>
          <w:rFonts w:eastAsiaTheme="minorHAnsi" w:cstheme="minorHAnsi"/>
          <w:b/>
        </w:rPr>
        <w:t>Direct Supervision</w:t>
      </w:r>
      <w:r w:rsidRPr="00B35198">
        <w:rPr>
          <w:rFonts w:eastAsiaTheme="minorHAnsi" w:cstheme="minorHAnsi"/>
        </w:rPr>
        <w:t xml:space="preserve"> (the supervising physician is physically present with the resident):</w:t>
      </w:r>
    </w:p>
    <w:p w:rsidR="000D4B4E" w:rsidRPr="00B35198" w:rsidRDefault="000D4B4E" w:rsidP="000D4B4E">
      <w:pPr>
        <w:numPr>
          <w:ilvl w:val="0"/>
          <w:numId w:val="9"/>
        </w:numPr>
        <w:contextualSpacing/>
        <w:rPr>
          <w:rFonts w:eastAsiaTheme="minorHAnsi" w:cstheme="minorHAnsi"/>
        </w:rPr>
      </w:pPr>
      <w:r w:rsidRPr="00B35198">
        <w:rPr>
          <w:rFonts w:eastAsiaTheme="minorHAnsi" w:cstheme="minorHAnsi"/>
        </w:rPr>
        <w:t>Electronic verification of diagnoses, additional or amended diagnoses, and comments.</w:t>
      </w:r>
    </w:p>
    <w:p w:rsidR="000D4B4E" w:rsidRPr="00B35198" w:rsidRDefault="000D4B4E" w:rsidP="000D4B4E">
      <w:pPr>
        <w:numPr>
          <w:ilvl w:val="0"/>
          <w:numId w:val="9"/>
        </w:numPr>
        <w:contextualSpacing/>
        <w:rPr>
          <w:rFonts w:eastAsiaTheme="minorHAnsi" w:cstheme="minorHAnsi"/>
        </w:rPr>
      </w:pPr>
      <w:r w:rsidRPr="00B35198">
        <w:rPr>
          <w:rFonts w:eastAsiaTheme="minorHAnsi" w:cstheme="minorHAnsi"/>
        </w:rPr>
        <w:t>Communications with other providers.</w:t>
      </w:r>
    </w:p>
    <w:p w:rsidR="000D4B4E" w:rsidRPr="00B35198" w:rsidRDefault="000D4B4E" w:rsidP="0024355D">
      <w:pPr>
        <w:ind w:left="1080"/>
        <w:contextualSpacing/>
        <w:rPr>
          <w:rFonts w:eastAsiaTheme="minorHAnsi" w:cstheme="minorHAnsi"/>
        </w:rPr>
      </w:pPr>
    </w:p>
    <w:p w:rsidR="000D4B4E" w:rsidRPr="00B35198" w:rsidRDefault="000D4B4E" w:rsidP="000D4B4E">
      <w:pPr>
        <w:rPr>
          <w:rFonts w:eastAsiaTheme="minorHAnsi" w:cstheme="minorHAnsi"/>
        </w:rPr>
      </w:pPr>
      <w:r w:rsidRPr="00B35198">
        <w:rPr>
          <w:rFonts w:eastAsiaTheme="minorHAnsi" w:cstheme="minorHAnsi"/>
        </w:rPr>
        <w:t xml:space="preserve">The following activities may be conducted with </w:t>
      </w:r>
      <w:r w:rsidRPr="00B35198">
        <w:rPr>
          <w:rFonts w:eastAsiaTheme="minorHAnsi" w:cstheme="minorHAnsi"/>
          <w:b/>
        </w:rPr>
        <w:t>Indirect Supervision</w:t>
      </w:r>
      <w:r w:rsidRPr="00B35198">
        <w:rPr>
          <w:rFonts w:eastAsiaTheme="minorHAnsi" w:cstheme="minorHAnsi"/>
        </w:rPr>
        <w:t xml:space="preserve"> (direct supervision immediately available either within the hospital of by telephonic or electronic communication):</w:t>
      </w:r>
    </w:p>
    <w:p w:rsidR="000D4B4E" w:rsidRPr="00B35198" w:rsidRDefault="000D4B4E" w:rsidP="000D4B4E">
      <w:pPr>
        <w:numPr>
          <w:ilvl w:val="0"/>
          <w:numId w:val="10"/>
        </w:numPr>
        <w:contextualSpacing/>
        <w:rPr>
          <w:rFonts w:eastAsiaTheme="minorHAnsi" w:cstheme="minorHAnsi"/>
        </w:rPr>
      </w:pPr>
      <w:r w:rsidRPr="00B35198">
        <w:rPr>
          <w:rFonts w:eastAsiaTheme="minorHAnsi" w:cstheme="minorHAnsi"/>
        </w:rPr>
        <w:t>Gross dissections other than those described above</w:t>
      </w:r>
    </w:p>
    <w:p w:rsidR="000D4B4E" w:rsidRPr="00B35198" w:rsidRDefault="000D4B4E" w:rsidP="000D4B4E">
      <w:pPr>
        <w:rPr>
          <w:rFonts w:eastAsiaTheme="minorHAnsi" w:cstheme="minorHAnsi"/>
        </w:rPr>
      </w:pPr>
      <w:r w:rsidRPr="00B35198">
        <w:rPr>
          <w:rFonts w:eastAsiaTheme="minorHAnsi" w:cstheme="minorHAnsi"/>
        </w:rPr>
        <w:t xml:space="preserve">The following activities may be conducted with </w:t>
      </w:r>
      <w:r w:rsidRPr="00B35198">
        <w:rPr>
          <w:rFonts w:eastAsiaTheme="minorHAnsi" w:cstheme="minorHAnsi"/>
          <w:b/>
        </w:rPr>
        <w:t>Oversight</w:t>
      </w:r>
      <w:r w:rsidRPr="00B35198">
        <w:rPr>
          <w:rFonts w:eastAsiaTheme="minorHAnsi" w:cstheme="minorHAnsi"/>
        </w:rPr>
        <w:t xml:space="preserve"> (the supervising physician is available to review with feedback after activity is completed):</w:t>
      </w:r>
    </w:p>
    <w:p w:rsidR="000D4B4E" w:rsidRPr="00B35198" w:rsidRDefault="000D4B4E" w:rsidP="00F7647F">
      <w:pPr>
        <w:numPr>
          <w:ilvl w:val="0"/>
          <w:numId w:val="11"/>
        </w:numPr>
        <w:contextualSpacing/>
        <w:rPr>
          <w:rFonts w:eastAsiaTheme="minorHAnsi" w:cstheme="minorHAnsi"/>
        </w:rPr>
      </w:pPr>
      <w:r w:rsidRPr="00B35198">
        <w:rPr>
          <w:rFonts w:eastAsiaTheme="minorHAnsi" w:cstheme="minorHAnsi"/>
        </w:rPr>
        <w:t>Dictation of preliminary diagnoses</w:t>
      </w:r>
    </w:p>
    <w:p w:rsidR="000D4B4E" w:rsidRPr="00B35198" w:rsidRDefault="000D4B4E" w:rsidP="00F7647F">
      <w:pPr>
        <w:rPr>
          <w:rFonts w:cstheme="minorHAnsi"/>
        </w:rPr>
      </w:pPr>
    </w:p>
    <w:p w:rsidR="001B790E" w:rsidRPr="00B35198" w:rsidRDefault="001B790E">
      <w:pPr>
        <w:rPr>
          <w:rFonts w:cstheme="minorHAnsi"/>
        </w:rPr>
      </w:pPr>
      <w:r w:rsidRPr="00B35198">
        <w:rPr>
          <w:rFonts w:cstheme="minorHAnsi"/>
        </w:rPr>
        <w:t>Evaluation</w:t>
      </w:r>
    </w:p>
    <w:p w:rsidR="009416A9" w:rsidRPr="00B35198" w:rsidRDefault="009416A9" w:rsidP="009416A9">
      <w:pPr>
        <w:pStyle w:val="ListParagraph"/>
        <w:numPr>
          <w:ilvl w:val="0"/>
          <w:numId w:val="11"/>
        </w:numPr>
        <w:rPr>
          <w:rFonts w:cstheme="minorHAnsi"/>
        </w:rPr>
      </w:pPr>
      <w:r w:rsidRPr="00B35198">
        <w:rPr>
          <w:rFonts w:cstheme="minorHAnsi"/>
        </w:rPr>
        <w:t>Electronic (MedHub) evaluation completed by faculty at the conclusion of each rotation</w:t>
      </w:r>
    </w:p>
    <w:p w:rsidR="009416A9" w:rsidRPr="00B35198" w:rsidRDefault="009416A9" w:rsidP="009416A9">
      <w:pPr>
        <w:pStyle w:val="ListParagraph"/>
        <w:numPr>
          <w:ilvl w:val="0"/>
          <w:numId w:val="11"/>
        </w:numPr>
        <w:rPr>
          <w:rFonts w:cstheme="minorHAnsi"/>
        </w:rPr>
      </w:pPr>
      <w:r w:rsidRPr="00B35198">
        <w:rPr>
          <w:rFonts w:cstheme="minorHAnsi"/>
        </w:rPr>
        <w:t>Resident Inservice Examination (annually)</w:t>
      </w:r>
    </w:p>
    <w:sectPr w:rsidR="009416A9" w:rsidRPr="00B35198" w:rsidSect="006074A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7DF" w:rsidRDefault="004717DF" w:rsidP="004717DF">
      <w:pPr>
        <w:spacing w:after="0" w:line="240" w:lineRule="auto"/>
      </w:pPr>
      <w:r>
        <w:separator/>
      </w:r>
    </w:p>
  </w:endnote>
  <w:endnote w:type="continuationSeparator" w:id="0">
    <w:p w:rsidR="004717DF" w:rsidRDefault="004717DF" w:rsidP="0047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7DF" w:rsidRDefault="004717DF">
    <w:pPr>
      <w:pStyle w:val="Footer"/>
    </w:pPr>
    <w:r>
      <w:t>6/16/2015</w:t>
    </w:r>
  </w:p>
  <w:p w:rsidR="004717DF" w:rsidRDefault="004717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7DF" w:rsidRDefault="004717DF" w:rsidP="004717DF">
      <w:pPr>
        <w:spacing w:after="0" w:line="240" w:lineRule="auto"/>
      </w:pPr>
      <w:r>
        <w:separator/>
      </w:r>
    </w:p>
  </w:footnote>
  <w:footnote w:type="continuationSeparator" w:id="0">
    <w:p w:rsidR="004717DF" w:rsidRDefault="004717DF" w:rsidP="004717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22BF"/>
    <w:multiLevelType w:val="hybridMultilevel"/>
    <w:tmpl w:val="754EC0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C535B9"/>
    <w:multiLevelType w:val="hybridMultilevel"/>
    <w:tmpl w:val="5EC8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0268A"/>
    <w:multiLevelType w:val="hybridMultilevel"/>
    <w:tmpl w:val="F7202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D4E4DA7"/>
    <w:multiLevelType w:val="multilevel"/>
    <w:tmpl w:val="9516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174979"/>
    <w:multiLevelType w:val="hybridMultilevel"/>
    <w:tmpl w:val="BD8C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74153B"/>
    <w:multiLevelType w:val="hybridMultilevel"/>
    <w:tmpl w:val="54A4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941FE2"/>
    <w:multiLevelType w:val="hybridMultilevel"/>
    <w:tmpl w:val="C93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AA5296"/>
    <w:multiLevelType w:val="hybridMultilevel"/>
    <w:tmpl w:val="3CE6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A758E3"/>
    <w:multiLevelType w:val="hybridMultilevel"/>
    <w:tmpl w:val="1476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C44214"/>
    <w:multiLevelType w:val="hybridMultilevel"/>
    <w:tmpl w:val="926C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F6250B"/>
    <w:multiLevelType w:val="hybridMultilevel"/>
    <w:tmpl w:val="C94298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20825AA"/>
    <w:multiLevelType w:val="hybridMultilevel"/>
    <w:tmpl w:val="410A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E747BF"/>
    <w:multiLevelType w:val="hybridMultilevel"/>
    <w:tmpl w:val="46CE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DA7D64"/>
    <w:multiLevelType w:val="hybridMultilevel"/>
    <w:tmpl w:val="6FA8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1D25CA"/>
    <w:multiLevelType w:val="hybridMultilevel"/>
    <w:tmpl w:val="FD506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D219C6"/>
    <w:multiLevelType w:val="hybridMultilevel"/>
    <w:tmpl w:val="28768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7"/>
  </w:num>
  <w:num w:numId="4">
    <w:abstractNumId w:val="13"/>
  </w:num>
  <w:num w:numId="5">
    <w:abstractNumId w:val="6"/>
  </w:num>
  <w:num w:numId="6">
    <w:abstractNumId w:val="5"/>
  </w:num>
  <w:num w:numId="7">
    <w:abstractNumId w:val="3"/>
  </w:num>
  <w:num w:numId="8">
    <w:abstractNumId w:val="12"/>
  </w:num>
  <w:num w:numId="9">
    <w:abstractNumId w:val="10"/>
  </w:num>
  <w:num w:numId="10">
    <w:abstractNumId w:val="0"/>
  </w:num>
  <w:num w:numId="11">
    <w:abstractNumId w:val="2"/>
  </w:num>
  <w:num w:numId="12">
    <w:abstractNumId w:val="8"/>
  </w:num>
  <w:num w:numId="13">
    <w:abstractNumId w:val="11"/>
  </w:num>
  <w:num w:numId="14">
    <w:abstractNumId w:val="15"/>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4A7"/>
    <w:rsid w:val="00051728"/>
    <w:rsid w:val="00060F5B"/>
    <w:rsid w:val="000857CC"/>
    <w:rsid w:val="000C351A"/>
    <w:rsid w:val="000C6D5F"/>
    <w:rsid w:val="000D4B4E"/>
    <w:rsid w:val="0015490A"/>
    <w:rsid w:val="001640AE"/>
    <w:rsid w:val="00165403"/>
    <w:rsid w:val="00171085"/>
    <w:rsid w:val="00194828"/>
    <w:rsid w:val="001B790E"/>
    <w:rsid w:val="001F43C4"/>
    <w:rsid w:val="00234B6E"/>
    <w:rsid w:val="00242B3C"/>
    <w:rsid w:val="0024355D"/>
    <w:rsid w:val="002958AA"/>
    <w:rsid w:val="002B2FDA"/>
    <w:rsid w:val="0035525E"/>
    <w:rsid w:val="003E5339"/>
    <w:rsid w:val="003F48F7"/>
    <w:rsid w:val="00406A3A"/>
    <w:rsid w:val="004149D8"/>
    <w:rsid w:val="00437FD6"/>
    <w:rsid w:val="004501D9"/>
    <w:rsid w:val="0045234A"/>
    <w:rsid w:val="00470978"/>
    <w:rsid w:val="004717DF"/>
    <w:rsid w:val="004A60B4"/>
    <w:rsid w:val="004E2DB5"/>
    <w:rsid w:val="00501B53"/>
    <w:rsid w:val="005201FF"/>
    <w:rsid w:val="00562F9A"/>
    <w:rsid w:val="0056544E"/>
    <w:rsid w:val="005B1898"/>
    <w:rsid w:val="006074A7"/>
    <w:rsid w:val="00645BDC"/>
    <w:rsid w:val="00653FEE"/>
    <w:rsid w:val="00661800"/>
    <w:rsid w:val="006819FA"/>
    <w:rsid w:val="00682586"/>
    <w:rsid w:val="006C1DE6"/>
    <w:rsid w:val="006D356B"/>
    <w:rsid w:val="006D6DBF"/>
    <w:rsid w:val="006D77AA"/>
    <w:rsid w:val="006F34C0"/>
    <w:rsid w:val="00734B58"/>
    <w:rsid w:val="007408B5"/>
    <w:rsid w:val="007514B9"/>
    <w:rsid w:val="007B4EC6"/>
    <w:rsid w:val="00840798"/>
    <w:rsid w:val="00880D90"/>
    <w:rsid w:val="008D680F"/>
    <w:rsid w:val="008F364F"/>
    <w:rsid w:val="00915512"/>
    <w:rsid w:val="009416A9"/>
    <w:rsid w:val="00972E97"/>
    <w:rsid w:val="00992BC9"/>
    <w:rsid w:val="009C4CE9"/>
    <w:rsid w:val="009F60A3"/>
    <w:rsid w:val="009F7B46"/>
    <w:rsid w:val="00A15DB7"/>
    <w:rsid w:val="00A320D6"/>
    <w:rsid w:val="00A40392"/>
    <w:rsid w:val="00AB451A"/>
    <w:rsid w:val="00AF0AD9"/>
    <w:rsid w:val="00B35198"/>
    <w:rsid w:val="00B36044"/>
    <w:rsid w:val="00B50E10"/>
    <w:rsid w:val="00B942C3"/>
    <w:rsid w:val="00BD775C"/>
    <w:rsid w:val="00BF15D7"/>
    <w:rsid w:val="00BF78D0"/>
    <w:rsid w:val="00C031A9"/>
    <w:rsid w:val="00C0447B"/>
    <w:rsid w:val="00C0764A"/>
    <w:rsid w:val="00C507B5"/>
    <w:rsid w:val="00C75936"/>
    <w:rsid w:val="00CD493A"/>
    <w:rsid w:val="00CF3CB4"/>
    <w:rsid w:val="00D10346"/>
    <w:rsid w:val="00D901A6"/>
    <w:rsid w:val="00DD2E26"/>
    <w:rsid w:val="00E71082"/>
    <w:rsid w:val="00F7647F"/>
    <w:rsid w:val="00FC163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90E"/>
    <w:pPr>
      <w:ind w:left="720"/>
      <w:contextualSpacing/>
    </w:pPr>
  </w:style>
  <w:style w:type="paragraph" w:styleId="BalloonText">
    <w:name w:val="Balloon Text"/>
    <w:basedOn w:val="Normal"/>
    <w:link w:val="BalloonTextChar"/>
    <w:uiPriority w:val="99"/>
    <w:semiHidden/>
    <w:unhideWhenUsed/>
    <w:rsid w:val="00565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44E"/>
    <w:rPr>
      <w:rFonts w:ascii="Tahoma" w:hAnsi="Tahoma" w:cs="Tahoma"/>
      <w:sz w:val="16"/>
      <w:szCs w:val="16"/>
    </w:rPr>
  </w:style>
  <w:style w:type="paragraph" w:styleId="Header">
    <w:name w:val="header"/>
    <w:basedOn w:val="Normal"/>
    <w:link w:val="HeaderChar"/>
    <w:uiPriority w:val="99"/>
    <w:unhideWhenUsed/>
    <w:rsid w:val="00471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7DF"/>
  </w:style>
  <w:style w:type="paragraph" w:styleId="Footer">
    <w:name w:val="footer"/>
    <w:basedOn w:val="Normal"/>
    <w:link w:val="FooterChar"/>
    <w:uiPriority w:val="99"/>
    <w:unhideWhenUsed/>
    <w:rsid w:val="00471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90E"/>
    <w:pPr>
      <w:ind w:left="720"/>
      <w:contextualSpacing/>
    </w:pPr>
  </w:style>
  <w:style w:type="paragraph" w:styleId="BalloonText">
    <w:name w:val="Balloon Text"/>
    <w:basedOn w:val="Normal"/>
    <w:link w:val="BalloonTextChar"/>
    <w:uiPriority w:val="99"/>
    <w:semiHidden/>
    <w:unhideWhenUsed/>
    <w:rsid w:val="00565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44E"/>
    <w:rPr>
      <w:rFonts w:ascii="Tahoma" w:hAnsi="Tahoma" w:cs="Tahoma"/>
      <w:sz w:val="16"/>
      <w:szCs w:val="16"/>
    </w:rPr>
  </w:style>
  <w:style w:type="paragraph" w:styleId="Header">
    <w:name w:val="header"/>
    <w:basedOn w:val="Normal"/>
    <w:link w:val="HeaderChar"/>
    <w:uiPriority w:val="99"/>
    <w:unhideWhenUsed/>
    <w:rsid w:val="00471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7DF"/>
  </w:style>
  <w:style w:type="paragraph" w:styleId="Footer">
    <w:name w:val="footer"/>
    <w:basedOn w:val="Normal"/>
    <w:link w:val="FooterChar"/>
    <w:uiPriority w:val="99"/>
    <w:unhideWhenUsed/>
    <w:rsid w:val="00471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510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barbmcke</dc:creator>
  <cp:lastModifiedBy>Baessler, Desire</cp:lastModifiedBy>
  <cp:revision>5</cp:revision>
  <cp:lastPrinted>2011-04-06T15:01:00Z</cp:lastPrinted>
  <dcterms:created xsi:type="dcterms:W3CDTF">2015-06-15T19:39:00Z</dcterms:created>
  <dcterms:modified xsi:type="dcterms:W3CDTF">2015-06-16T18:41:00Z</dcterms:modified>
</cp:coreProperties>
</file>