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64" w:rsidRPr="009A12FA" w:rsidRDefault="00AA03C7" w:rsidP="00AA03C7">
      <w:pPr>
        <w:jc w:val="center"/>
        <w:rPr>
          <w:b/>
          <w:i/>
          <w:sz w:val="28"/>
          <w:szCs w:val="28"/>
        </w:rPr>
      </w:pPr>
      <w:r w:rsidRPr="009A12FA">
        <w:rPr>
          <w:b/>
          <w:i/>
          <w:sz w:val="28"/>
          <w:szCs w:val="28"/>
        </w:rPr>
        <w:t>Molecular Testing</w:t>
      </w:r>
      <w:r w:rsidR="0040033E" w:rsidRPr="009A12FA">
        <w:rPr>
          <w:b/>
          <w:i/>
          <w:sz w:val="28"/>
          <w:szCs w:val="28"/>
        </w:rPr>
        <w:t xml:space="preserve"> o</w:t>
      </w:r>
      <w:r w:rsidR="009F52AC" w:rsidRPr="009A12FA">
        <w:rPr>
          <w:b/>
          <w:i/>
          <w:sz w:val="28"/>
          <w:szCs w:val="28"/>
        </w:rPr>
        <w:t>n Formalin Fixed Paraffin Embedded Tissue Blocks</w:t>
      </w:r>
    </w:p>
    <w:p w:rsidR="00AA03C7" w:rsidRPr="009A12FA" w:rsidRDefault="008C3AB9" w:rsidP="00AA03C7">
      <w:pPr>
        <w:rPr>
          <w:b/>
          <w:i/>
        </w:rPr>
      </w:pPr>
      <w:r>
        <w:rPr>
          <w:b/>
          <w:i/>
        </w:rPr>
        <w:t>General Guidelines for Block Selection</w:t>
      </w:r>
      <w:bookmarkStart w:id="0" w:name="_GoBack"/>
      <w:bookmarkEnd w:id="0"/>
    </w:p>
    <w:p w:rsidR="00256E64" w:rsidRDefault="00256E64" w:rsidP="00AA03C7">
      <w:pPr>
        <w:pStyle w:val="ListParagraph"/>
        <w:numPr>
          <w:ilvl w:val="0"/>
          <w:numId w:val="1"/>
        </w:numPr>
      </w:pPr>
      <w:r>
        <w:t>Any specimen to be tested by molecular techniques must meet quantitative and qualitative requirements</w:t>
      </w:r>
      <w:r w:rsidR="00BF04BA">
        <w:t>.</w:t>
      </w:r>
    </w:p>
    <w:p w:rsidR="00256E64" w:rsidRDefault="00256E64" w:rsidP="00AA03C7">
      <w:pPr>
        <w:pStyle w:val="ListParagraph"/>
        <w:numPr>
          <w:ilvl w:val="0"/>
          <w:numId w:val="1"/>
        </w:numPr>
      </w:pPr>
      <w:r>
        <w:t xml:space="preserve">DO NOT submit decalcified tissue for molecular testing.  DNA in decalcified tissue is </w:t>
      </w:r>
      <w:r w:rsidR="00BF04BA">
        <w:t xml:space="preserve">severely </w:t>
      </w:r>
      <w:r>
        <w:t>degraded and cannot be amplified.</w:t>
      </w:r>
    </w:p>
    <w:p w:rsidR="00256E64" w:rsidRDefault="00256E64" w:rsidP="00AA03C7">
      <w:pPr>
        <w:pStyle w:val="ListParagraph"/>
        <w:numPr>
          <w:ilvl w:val="0"/>
          <w:numId w:val="1"/>
        </w:numPr>
      </w:pPr>
      <w:r>
        <w:t xml:space="preserve">Quantitative requirements include both a sufficient tumor percentage (see </w:t>
      </w:r>
      <w:r w:rsidR="00BF04BA">
        <w:t xml:space="preserve">specific </w:t>
      </w:r>
      <w:r>
        <w:t>requi</w:t>
      </w:r>
      <w:r w:rsidR="00DA7E5B">
        <w:t xml:space="preserve">rements below) and a sufficient absolute </w:t>
      </w:r>
      <w:r>
        <w:t>number of tumor cells (several hundred cells at a minimum).</w:t>
      </w:r>
      <w:r w:rsidR="00C86F33">
        <w:t xml:space="preserve">  For specimens near the lower limit for tumor percentage, a higher number of tumor cells </w:t>
      </w:r>
      <w:proofErr w:type="gramStart"/>
      <w:r w:rsidR="00C86F33">
        <w:t>is</w:t>
      </w:r>
      <w:proofErr w:type="gramEnd"/>
      <w:r w:rsidR="00C86F33">
        <w:t xml:space="preserve"> required.</w:t>
      </w:r>
    </w:p>
    <w:p w:rsidR="00AA03C7" w:rsidRDefault="00AA03C7" w:rsidP="00AA03C7">
      <w:pPr>
        <w:pStyle w:val="ListParagraph"/>
        <w:numPr>
          <w:ilvl w:val="0"/>
          <w:numId w:val="1"/>
        </w:numPr>
      </w:pPr>
      <w:r>
        <w:t xml:space="preserve">When assessing tumor percentages, the </w:t>
      </w:r>
      <w:r w:rsidRPr="00C86F33">
        <w:rPr>
          <w:b/>
          <w:i/>
        </w:rPr>
        <w:t>PERCENTAGE OF NUCLEI</w:t>
      </w:r>
      <w:r>
        <w:t xml:space="preserve"> must be assessed</w:t>
      </w:r>
      <w:r w:rsidR="00256E64">
        <w:t>.  DO NOT consider tumor volume when assessing percentages.</w:t>
      </w:r>
    </w:p>
    <w:p w:rsidR="00AA03C7" w:rsidRDefault="00AA03C7" w:rsidP="00AA03C7">
      <w:pPr>
        <w:pStyle w:val="ListParagraph"/>
        <w:numPr>
          <w:ilvl w:val="0"/>
          <w:numId w:val="1"/>
        </w:numPr>
      </w:pPr>
      <w:r>
        <w:t>Keep in mind that infiltrating inflammatory cells will decrease the percentage of tumor cells.</w:t>
      </w:r>
    </w:p>
    <w:p w:rsidR="00AA03C7" w:rsidRPr="00DA7E5B" w:rsidRDefault="00AA03C7" w:rsidP="00AA03C7">
      <w:pPr>
        <w:pStyle w:val="ListParagraph"/>
        <w:numPr>
          <w:ilvl w:val="0"/>
          <w:numId w:val="1"/>
        </w:numPr>
        <w:rPr>
          <w:i/>
        </w:rPr>
      </w:pPr>
      <w:proofErr w:type="spellStart"/>
      <w:r>
        <w:t>Macrodissection</w:t>
      </w:r>
      <w:proofErr w:type="spellEnd"/>
      <w:r>
        <w:t xml:space="preserve"> can be employed to enrich for tumor cells.  However, </w:t>
      </w:r>
      <w:r w:rsidR="00256E64">
        <w:t>this technique requires the ability of discern an area for dissection with the naked eye</w:t>
      </w:r>
      <w:r w:rsidR="00BF04BA">
        <w:t xml:space="preserve"> based on the contour of tissue on an unstained slide</w:t>
      </w:r>
      <w:r w:rsidR="00256E64">
        <w:t>.  The area must also be large enough that it can be separated from surrounding tissue with manual techniques.</w:t>
      </w:r>
      <w:r w:rsidR="001F4FE2">
        <w:t xml:space="preserve">  </w:t>
      </w:r>
      <w:r w:rsidR="001F4FE2" w:rsidRPr="00C86F33">
        <w:t xml:space="preserve">Please note: </w:t>
      </w:r>
      <w:r w:rsidR="00C86F33" w:rsidRPr="00DA7E5B">
        <w:rPr>
          <w:i/>
        </w:rPr>
        <w:t>CELL BLOCKS ARE NOT APPROP</w:t>
      </w:r>
      <w:r w:rsidR="00DA7E5B" w:rsidRPr="00DA7E5B">
        <w:rPr>
          <w:i/>
        </w:rPr>
        <w:t>RIATE FOR MACRODISSECTION.</w:t>
      </w:r>
    </w:p>
    <w:p w:rsidR="00BF04BA" w:rsidRDefault="00BF04BA" w:rsidP="00AA03C7">
      <w:pPr>
        <w:pStyle w:val="ListParagraph"/>
        <w:numPr>
          <w:ilvl w:val="0"/>
          <w:numId w:val="1"/>
        </w:numPr>
      </w:pPr>
      <w:r>
        <w:t xml:space="preserve">Specimens are assessed for adequacy in the Molecular Diagnostics Laboratory prior to testing.  Areas for </w:t>
      </w:r>
      <w:proofErr w:type="spellStart"/>
      <w:r>
        <w:t>macrodissection</w:t>
      </w:r>
      <w:proofErr w:type="spellEnd"/>
      <w:r>
        <w:t xml:space="preserve"> are selected in the Molecular Diagnostics Laboratory.</w:t>
      </w:r>
    </w:p>
    <w:p w:rsidR="00AA03C7" w:rsidRPr="009A12FA" w:rsidRDefault="00BF04BA" w:rsidP="00AA03C7">
      <w:pPr>
        <w:rPr>
          <w:b/>
          <w:i/>
        </w:rPr>
      </w:pPr>
      <w:r w:rsidRPr="009A12FA">
        <w:rPr>
          <w:b/>
          <w:i/>
        </w:rPr>
        <w:t>Specific Requirements</w:t>
      </w:r>
    </w:p>
    <w:p w:rsidR="00AA03C7" w:rsidRDefault="00256E64" w:rsidP="00256E64">
      <w:pPr>
        <w:pStyle w:val="ListParagraph"/>
        <w:numPr>
          <w:ilvl w:val="0"/>
          <w:numId w:val="2"/>
        </w:numPr>
      </w:pPr>
      <w:r>
        <w:t xml:space="preserve">Sequencing assays including KRAS, KIT, IDH, CEBPA, </w:t>
      </w:r>
      <w:proofErr w:type="gramStart"/>
      <w:r w:rsidR="00BF04BA">
        <w:t>PDGFRA</w:t>
      </w:r>
      <w:proofErr w:type="gramEnd"/>
      <w:r w:rsidR="00BF04BA">
        <w:t xml:space="preserve"> require </w:t>
      </w:r>
      <w:r w:rsidR="00BF04BA">
        <w:rPr>
          <w:rFonts w:cstheme="minorHAnsi"/>
        </w:rPr>
        <w:t>≥</w:t>
      </w:r>
      <w:r w:rsidR="00BF04BA">
        <w:t xml:space="preserve"> 40% tumor nuclei.</w:t>
      </w:r>
    </w:p>
    <w:p w:rsidR="00BF04BA" w:rsidRDefault="00BF04BA" w:rsidP="00256E64">
      <w:pPr>
        <w:pStyle w:val="ListParagraph"/>
        <w:numPr>
          <w:ilvl w:val="0"/>
          <w:numId w:val="2"/>
        </w:numPr>
      </w:pPr>
      <w:r>
        <w:t xml:space="preserve">Microsatellite Instability testing requires an area with </w:t>
      </w:r>
      <w:r>
        <w:rPr>
          <w:rFonts w:cstheme="minorHAnsi"/>
        </w:rPr>
        <w:t>≥</w:t>
      </w:r>
      <w:r>
        <w:t xml:space="preserve"> 20% tumor nuclei AND </w:t>
      </w:r>
      <w:proofErr w:type="gramStart"/>
      <w:r>
        <w:t>an</w:t>
      </w:r>
      <w:proofErr w:type="gramEnd"/>
      <w:r>
        <w:t xml:space="preserve"> area of normal tissue.  Separate slides may be used.</w:t>
      </w:r>
    </w:p>
    <w:p w:rsidR="00BF04BA" w:rsidRDefault="00BF04BA" w:rsidP="00256E64">
      <w:pPr>
        <w:pStyle w:val="ListParagraph"/>
        <w:numPr>
          <w:ilvl w:val="0"/>
          <w:numId w:val="2"/>
        </w:numPr>
      </w:pPr>
      <w:r>
        <w:t xml:space="preserve">Most other assays require </w:t>
      </w:r>
      <w:r>
        <w:rPr>
          <w:rFonts w:cstheme="minorHAnsi"/>
        </w:rPr>
        <w:t>≥</w:t>
      </w:r>
      <w:r>
        <w:t xml:space="preserve"> 10% tumor nuclei.</w:t>
      </w:r>
    </w:p>
    <w:p w:rsidR="009F52AC" w:rsidRDefault="009F52AC" w:rsidP="009F52AC"/>
    <w:p w:rsidR="009F52AC" w:rsidRDefault="009F52AC" w:rsidP="009F52AC">
      <w:r>
        <w:t>For questions, contact Bryan Betz, Technical Director of the Molecular Diagnostics Laboratory (</w:t>
      </w:r>
      <w:hyperlink r:id="rId6" w:history="1">
        <w:r w:rsidRPr="00012173">
          <w:rPr>
            <w:rStyle w:val="Hyperlink"/>
          </w:rPr>
          <w:t>bbetz@med.umich.edu</w:t>
        </w:r>
      </w:hyperlink>
      <w:r>
        <w:t>, 734-764-0569).</w:t>
      </w:r>
    </w:p>
    <w:sectPr w:rsidR="009F52A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CD67E8"/>
    <w:multiLevelType w:val="hybridMultilevel"/>
    <w:tmpl w:val="03D453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B19062B"/>
    <w:multiLevelType w:val="hybridMultilevel"/>
    <w:tmpl w:val="BB345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03C7"/>
    <w:rsid w:val="001F4FE2"/>
    <w:rsid w:val="00256E64"/>
    <w:rsid w:val="0040033E"/>
    <w:rsid w:val="00760E32"/>
    <w:rsid w:val="008C3AB9"/>
    <w:rsid w:val="009A12FA"/>
    <w:rsid w:val="009F52AC"/>
    <w:rsid w:val="00AA03C7"/>
    <w:rsid w:val="00BB6774"/>
    <w:rsid w:val="00BF04BA"/>
    <w:rsid w:val="00C0020B"/>
    <w:rsid w:val="00C86F33"/>
    <w:rsid w:val="00DA7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3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2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2A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A03C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F52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2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F52A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bbetz@med.umich.ed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281</Words>
  <Characters>1607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Michigan Hospital and Health Systems</Company>
  <LinksUpToDate>false</LinksUpToDate>
  <CharactersWithSpaces>1885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Brown, Noah</dc:creator>
  <cp:keywords/>
  <dc:description/>
  <cp:lastModifiedBy>Brown, Noah</cp:lastModifiedBy>
  <cp:revision>7</cp:revision>
  <cp:lastPrinted>2013-08-29T15:37:00Z</cp:lastPrinted>
  <dcterms:created xsi:type="dcterms:W3CDTF">2013-08-29T14:10:00Z</dcterms:created>
  <dcterms:modified xsi:type="dcterms:W3CDTF">2013-08-29T17:17:00Z</dcterms:modified>
</cp:coreProperties>
</file>