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AA" w:rsidRDefault="00301DAA" w:rsidP="009F5470">
      <w:pPr>
        <w:rPr>
          <w:rFonts w:ascii="Arial" w:hAnsi="Arial" w:cs="Arial"/>
          <w:b/>
          <w:sz w:val="24"/>
          <w:szCs w:val="24"/>
        </w:rPr>
      </w:pPr>
    </w:p>
    <w:p w:rsidR="00BE30D9" w:rsidRDefault="00BE30D9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:rsidR="003468AF" w:rsidRPr="003468AF" w:rsidRDefault="003468AF" w:rsidP="00B90A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establish a grossing procedure on how to dissect and gross globes. Most globes are removed due to a primary tumor and less commonly due to pain, </w:t>
      </w:r>
      <w:r w:rsidR="004407B9">
        <w:rPr>
          <w:rFonts w:ascii="Times New Roman" w:hAnsi="Times New Roman" w:cs="Times New Roman"/>
        </w:rPr>
        <w:t>poor function</w:t>
      </w:r>
      <w:r>
        <w:rPr>
          <w:rFonts w:ascii="Times New Roman" w:hAnsi="Times New Roman" w:cs="Times New Roman"/>
        </w:rPr>
        <w:t xml:space="preserve"> or secondary to a facial tumor.</w:t>
      </w:r>
    </w:p>
    <w:p w:rsidR="00B90A51" w:rsidRPr="008A43BF" w:rsidRDefault="00B90A51" w:rsidP="00D4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A51" w:rsidRDefault="00F966F6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Materials</w:t>
      </w:r>
    </w:p>
    <w:p w:rsidR="003468AF" w:rsidRDefault="004407B9" w:rsidP="003468A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Reagent-proof</w:t>
      </w:r>
      <w:r w:rsidR="003468AF">
        <w:rPr>
          <w:rFonts w:ascii="Times New Roman" w:hAnsi="Times New Roman" w:cs="Times New Roman"/>
        </w:rPr>
        <w:t xml:space="preserve"> marker or pencil</w:t>
      </w:r>
    </w:p>
    <w:p w:rsidR="00272137" w:rsidRPr="003468AF" w:rsidRDefault="003468AF" w:rsidP="00B90A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Globe cassettes</w:t>
      </w:r>
    </w:p>
    <w:p w:rsidR="00D81746" w:rsidRPr="008A43BF" w:rsidRDefault="00D81746" w:rsidP="00D41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DAA" w:rsidRDefault="00301DAA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Procedure</w:t>
      </w:r>
    </w:p>
    <w:p w:rsidR="003468AF" w:rsidRDefault="002E65E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the globe is fixed adequately for at least 24 hours. If part of a larger facial resection, remove the globe by cutting around the extraocular muscles and place in a separate formalin filled container with the appropriate patient information. Again, let fix in formalin for at least 24 hours.</w:t>
      </w:r>
    </w:p>
    <w:p w:rsidR="002E65EF" w:rsidRDefault="002E65E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 the external surfaces of the globe.</w:t>
      </w:r>
    </w:p>
    <w:p w:rsidR="002E65EF" w:rsidRDefault="002E65E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3 dimensional measurements of the globe, measure length and diameter of the optic nerve and describe the attached ocular musculature.</w:t>
      </w:r>
    </w:p>
    <w:p w:rsidR="002E65EF" w:rsidRDefault="002E65E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Transect the optic nerve</w:t>
      </w:r>
      <w:r w:rsidR="00317162">
        <w:rPr>
          <w:rFonts w:ascii="Times New Roman" w:hAnsi="Times New Roman" w:cs="Times New Roman"/>
        </w:rPr>
        <w:t xml:space="preserve"> resection margin</w:t>
      </w:r>
      <w:r>
        <w:rPr>
          <w:rFonts w:ascii="Times New Roman" w:hAnsi="Times New Roman" w:cs="Times New Roman"/>
        </w:rPr>
        <w:t xml:space="preserve"> and submit in the first cassette, en face.</w:t>
      </w:r>
    </w:p>
    <w:p w:rsidR="002E65EF" w:rsidRDefault="00B64D17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Measure and d</w:t>
      </w:r>
      <w:r w:rsidR="002E65EF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cribe any lesions. Describe the cornea, sclera, iris</w:t>
      </w:r>
      <w:r w:rsidR="002E65EF">
        <w:rPr>
          <w:rFonts w:ascii="Times New Roman" w:hAnsi="Times New Roman" w:cs="Times New Roman"/>
        </w:rPr>
        <w:t xml:space="preserve"> and any </w:t>
      </w:r>
      <w:r w:rsidR="001C47DF">
        <w:rPr>
          <w:rFonts w:ascii="Times New Roman" w:hAnsi="Times New Roman" w:cs="Times New Roman"/>
        </w:rPr>
        <w:t>structures or</w:t>
      </w:r>
      <w:r w:rsidR="002E65EF">
        <w:rPr>
          <w:rFonts w:ascii="Times New Roman" w:hAnsi="Times New Roman" w:cs="Times New Roman"/>
        </w:rPr>
        <w:t xml:space="preserve"> abnormalities on the external surface.</w:t>
      </w:r>
    </w:p>
    <w:p w:rsidR="002E65EF" w:rsidRDefault="002E65E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 long blade, section the g</w:t>
      </w:r>
      <w:r w:rsidR="00BE4F6C">
        <w:rPr>
          <w:rFonts w:ascii="Times New Roman" w:hAnsi="Times New Roman" w:cs="Times New Roman"/>
        </w:rPr>
        <w:t>lobe v</w:t>
      </w:r>
      <w:r w:rsidR="00E57816">
        <w:rPr>
          <w:rFonts w:ascii="Times New Roman" w:hAnsi="Times New Roman" w:cs="Times New Roman"/>
        </w:rPr>
        <w:t xml:space="preserve">ertically or obliquely into at least </w:t>
      </w:r>
      <w:r w:rsidR="00BE4F6C">
        <w:rPr>
          <w:rFonts w:ascii="Times New Roman" w:hAnsi="Times New Roman" w:cs="Times New Roman"/>
        </w:rPr>
        <w:t xml:space="preserve">0.5 cm </w:t>
      </w:r>
      <w:r w:rsidR="00E57816">
        <w:rPr>
          <w:rFonts w:ascii="Times New Roman" w:hAnsi="Times New Roman" w:cs="Times New Roman"/>
        </w:rPr>
        <w:t xml:space="preserve">thick </w:t>
      </w:r>
      <w:r w:rsidR="00BE4F6C">
        <w:rPr>
          <w:rFonts w:ascii="Times New Roman" w:hAnsi="Times New Roman" w:cs="Times New Roman"/>
        </w:rPr>
        <w:t xml:space="preserve">sections. The central section or “pupil-optic” </w:t>
      </w:r>
      <w:r w:rsidR="002C05F6">
        <w:rPr>
          <w:rFonts w:ascii="Times New Roman" w:hAnsi="Times New Roman" w:cs="Times New Roman"/>
        </w:rPr>
        <w:t>or P-O segment</w:t>
      </w:r>
      <w:r w:rsidR="00BE4F6C">
        <w:rPr>
          <w:rFonts w:ascii="Times New Roman" w:hAnsi="Times New Roman" w:cs="Times New Roman"/>
        </w:rPr>
        <w:t xml:space="preserve"> should contain the central eye contents and optic nerve. </w:t>
      </w:r>
      <w:r w:rsidR="004407B9">
        <w:rPr>
          <w:rFonts w:ascii="Times New Roman" w:hAnsi="Times New Roman" w:cs="Times New Roman"/>
        </w:rPr>
        <w:t>See sample images</w:t>
      </w:r>
      <w:r w:rsidR="00C50A17">
        <w:rPr>
          <w:rFonts w:ascii="Times New Roman" w:hAnsi="Times New Roman" w:cs="Times New Roman"/>
        </w:rPr>
        <w:t>.</w:t>
      </w:r>
    </w:p>
    <w:p w:rsidR="00B64D17" w:rsidRDefault="00B64D17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cut surfaces and take photos.</w:t>
      </w:r>
    </w:p>
    <w:p w:rsidR="00B64D17" w:rsidRDefault="001C47D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Measure and describe any lesions and structures involved. </w:t>
      </w:r>
    </w:p>
    <w:p w:rsidR="001C47DF" w:rsidRDefault="004407B9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 reagent proof</w:t>
      </w:r>
      <w:r w:rsidR="001C47DF">
        <w:rPr>
          <w:rFonts w:ascii="Times New Roman" w:hAnsi="Times New Roman" w:cs="Times New Roman"/>
        </w:rPr>
        <w:t xml:space="preserve"> marker, wr</w:t>
      </w:r>
      <w:r>
        <w:rPr>
          <w:rFonts w:ascii="Times New Roman" w:hAnsi="Times New Roman" w:cs="Times New Roman"/>
        </w:rPr>
        <w:t>ite the appropriate SU number, p</w:t>
      </w:r>
      <w:r w:rsidR="001C47DF">
        <w:rPr>
          <w:rFonts w:ascii="Times New Roman" w:hAnsi="Times New Roman" w:cs="Times New Roman"/>
        </w:rPr>
        <w:t>art and cassette number on the globe cassette</w:t>
      </w:r>
      <w:r w:rsidR="00BE4F6C">
        <w:rPr>
          <w:rFonts w:ascii="Times New Roman" w:hAnsi="Times New Roman" w:cs="Times New Roman"/>
        </w:rPr>
        <w:t>s</w:t>
      </w:r>
      <w:r w:rsidR="00390EA5">
        <w:rPr>
          <w:rFonts w:ascii="Times New Roman" w:hAnsi="Times New Roman" w:cs="Times New Roman"/>
        </w:rPr>
        <w:t>. In S</w:t>
      </w:r>
      <w:r w:rsidR="001C47DF">
        <w:rPr>
          <w:rFonts w:ascii="Times New Roman" w:hAnsi="Times New Roman" w:cs="Times New Roman"/>
        </w:rPr>
        <w:t xml:space="preserve">oftpath DX, print out appropriate cassettes </w:t>
      </w:r>
      <w:r>
        <w:rPr>
          <w:rFonts w:ascii="Times New Roman" w:hAnsi="Times New Roman" w:cs="Times New Roman"/>
        </w:rPr>
        <w:t xml:space="preserve">that correspond to the handwritten globe cassettes </w:t>
      </w:r>
      <w:r w:rsidR="001C47DF">
        <w:rPr>
          <w:rFonts w:ascii="Times New Roman" w:hAnsi="Times New Roman" w:cs="Times New Roman"/>
        </w:rPr>
        <w:t>and give to histology.</w:t>
      </w:r>
    </w:p>
    <w:p w:rsidR="001C47DF" w:rsidRDefault="001C47D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sections of the globe including any lesions and relevant ocular structures in the</w:t>
      </w:r>
      <w:r w:rsidR="004407B9">
        <w:rPr>
          <w:rFonts w:ascii="Times New Roman" w:hAnsi="Times New Roman" w:cs="Times New Roman"/>
        </w:rPr>
        <w:t>ir corresponding</w:t>
      </w:r>
      <w:r>
        <w:rPr>
          <w:rFonts w:ascii="Times New Roman" w:hAnsi="Times New Roman" w:cs="Times New Roman"/>
        </w:rPr>
        <w:t xml:space="preserve"> c</w:t>
      </w:r>
      <w:r w:rsidR="00BE4F6C">
        <w:rPr>
          <w:rFonts w:ascii="Times New Roman" w:hAnsi="Times New Roman" w:cs="Times New Roman"/>
        </w:rPr>
        <w:t>assette</w:t>
      </w:r>
      <w:r w:rsidR="004407B9">
        <w:rPr>
          <w:rFonts w:ascii="Times New Roman" w:hAnsi="Times New Roman" w:cs="Times New Roman"/>
        </w:rPr>
        <w:t>s</w:t>
      </w:r>
      <w:r w:rsidR="00BE4F6C">
        <w:rPr>
          <w:rFonts w:ascii="Times New Roman" w:hAnsi="Times New Roman" w:cs="Times New Roman"/>
        </w:rPr>
        <w:t xml:space="preserve"> and submit to histology including the pupil-optic nerve section.</w:t>
      </w:r>
    </w:p>
    <w:p w:rsidR="001C47DF" w:rsidRDefault="001C47DF" w:rsidP="003468A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globes can be submitted in 1-2 cassettes</w:t>
      </w:r>
      <w:r w:rsidR="00317162">
        <w:rPr>
          <w:rFonts w:ascii="Times New Roman" w:hAnsi="Times New Roman" w:cs="Times New Roman"/>
        </w:rPr>
        <w:t xml:space="preserve"> (in addition to the optic nerve section)</w:t>
      </w:r>
      <w:r>
        <w:rPr>
          <w:rFonts w:ascii="Times New Roman" w:hAnsi="Times New Roman" w:cs="Times New Roman"/>
        </w:rPr>
        <w:t>.</w:t>
      </w:r>
    </w:p>
    <w:p w:rsidR="001C47DF" w:rsidRDefault="001C47DF" w:rsidP="001C47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C50A17">
        <w:rPr>
          <w:rFonts w:ascii="Times New Roman" w:hAnsi="Times New Roman" w:cs="Times New Roman"/>
        </w:rPr>
        <w:t>Specimens</w:t>
      </w:r>
      <w:r w:rsidR="00BE5C46">
        <w:rPr>
          <w:rFonts w:ascii="Times New Roman" w:hAnsi="Times New Roman" w:cs="Times New Roman"/>
        </w:rPr>
        <w:t xml:space="preserve"> should be approached differently on a case to case basis. Please consult with your attending on how to process each case</w:t>
      </w:r>
      <w:r>
        <w:rPr>
          <w:rFonts w:ascii="Times New Roman" w:hAnsi="Times New Roman" w:cs="Times New Roman"/>
        </w:rPr>
        <w:t>.</w:t>
      </w:r>
    </w:p>
    <w:p w:rsidR="00BE4F6C" w:rsidRDefault="002C05F6" w:rsidP="001C47DF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Sections for Histology</w:t>
      </w:r>
    </w:p>
    <w:p w:rsidR="002C05F6" w:rsidRDefault="002C05F6" w:rsidP="002C05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Optic nerve margin, </w:t>
      </w:r>
      <w:r w:rsidR="00390EA5">
        <w:rPr>
          <w:rFonts w:ascii="Times New Roman" w:hAnsi="Times New Roman" w:cs="Times New Roman"/>
        </w:rPr>
        <w:t xml:space="preserve">shaved and submitted </w:t>
      </w:r>
      <w:r>
        <w:rPr>
          <w:rFonts w:ascii="Times New Roman" w:hAnsi="Times New Roman" w:cs="Times New Roman"/>
        </w:rPr>
        <w:t>en face</w:t>
      </w:r>
    </w:p>
    <w:p w:rsidR="004407B9" w:rsidRDefault="004407B9" w:rsidP="002C05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Sections of globe in</w:t>
      </w:r>
      <w:r w:rsidR="00C50A17">
        <w:rPr>
          <w:rFonts w:ascii="Times New Roman" w:hAnsi="Times New Roman" w:cs="Times New Roman"/>
        </w:rPr>
        <w:t>cluding lesions and P-O segment</w:t>
      </w:r>
    </w:p>
    <w:p w:rsidR="00390EA5" w:rsidRPr="002C05F6" w:rsidRDefault="00390EA5" w:rsidP="002C05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Sections of any attached and/or relevant structures</w:t>
      </w:r>
    </w:p>
    <w:p w:rsidR="002C05F6" w:rsidRPr="002C05F6" w:rsidRDefault="002C05F6" w:rsidP="001C47DF">
      <w:pPr>
        <w:spacing w:line="240" w:lineRule="auto"/>
        <w:rPr>
          <w:rFonts w:ascii="Times New Roman" w:hAnsi="Times New Roman" w:cs="Times New Roman"/>
          <w:b/>
          <w:i/>
        </w:rPr>
      </w:pPr>
    </w:p>
    <w:p w:rsidR="00BE4F6C" w:rsidRPr="004407B9" w:rsidRDefault="004407B9" w:rsidP="001C47DF">
      <w:pPr>
        <w:spacing w:line="240" w:lineRule="auto"/>
        <w:rPr>
          <w:rFonts w:ascii="Times New Roman" w:hAnsi="Times New Roman" w:cs="Times New Roman"/>
          <w:b/>
          <w:i/>
        </w:rPr>
      </w:pPr>
      <w:r w:rsidRPr="004407B9">
        <w:rPr>
          <w:rFonts w:ascii="Times New Roman" w:hAnsi="Times New Roman" w:cs="Times New Roman"/>
          <w:b/>
          <w:i/>
        </w:rPr>
        <w:t>Sample</w:t>
      </w:r>
      <w:r w:rsidR="00E57816">
        <w:rPr>
          <w:rFonts w:ascii="Times New Roman" w:hAnsi="Times New Roman" w:cs="Times New Roman"/>
          <w:b/>
          <w:i/>
        </w:rPr>
        <w:t xml:space="preserve"> Image</w:t>
      </w:r>
    </w:p>
    <w:p w:rsidR="00E57816" w:rsidRDefault="00BE4F6C" w:rsidP="00E57816">
      <w:pPr>
        <w:keepNext/>
        <w:spacing w:line="240" w:lineRule="auto"/>
      </w:pPr>
      <w:r>
        <w:rPr>
          <w:noProof/>
        </w:rPr>
        <w:drawing>
          <wp:inline distT="0" distB="0" distL="0" distR="0" wp14:anchorId="6C58267F" wp14:editId="1F96A946">
            <wp:extent cx="5943600" cy="2863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6C" w:rsidRPr="00E57816" w:rsidRDefault="00E57816" w:rsidP="00E57816">
      <w:pPr>
        <w:pStyle w:val="Caption"/>
        <w:rPr>
          <w:rFonts w:ascii="Times New Roman" w:hAnsi="Times New Roman" w:cs="Times New Roman"/>
          <w:color w:val="auto"/>
          <w:sz w:val="22"/>
          <w:szCs w:val="22"/>
        </w:rPr>
      </w:pPr>
      <w:r w:rsidRPr="00E57816">
        <w:rPr>
          <w:rFonts w:ascii="Times New Roman" w:hAnsi="Times New Roman" w:cs="Times New Roman"/>
          <w:color w:val="auto"/>
          <w:sz w:val="22"/>
          <w:szCs w:val="22"/>
        </w:rPr>
        <w:t xml:space="preserve">Figure </w:t>
      </w:r>
      <w:r w:rsidRPr="00E57816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E57816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 \* ARABIC </w:instrText>
      </w:r>
      <w:r w:rsidRPr="00E57816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E57816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E57816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E57816">
        <w:rPr>
          <w:rFonts w:ascii="Times New Roman" w:hAnsi="Times New Roman" w:cs="Times New Roman"/>
          <w:color w:val="auto"/>
          <w:sz w:val="22"/>
          <w:szCs w:val="22"/>
        </w:rPr>
        <w:t xml:space="preserve"> Silverberg's Principles and Practice of surgical Pathology and Cytopathology</w:t>
      </w:r>
    </w:p>
    <w:p w:rsidR="00E57816" w:rsidRDefault="00E57816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:rsidR="00BE30D9" w:rsidRDefault="00BE30D9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References</w:t>
      </w:r>
    </w:p>
    <w:p w:rsidR="00BE30D9" w:rsidRPr="00C50A17" w:rsidRDefault="003F001D" w:rsidP="00D4158B">
      <w:pPr>
        <w:spacing w:after="0" w:line="240" w:lineRule="auto"/>
        <w:rPr>
          <w:rFonts w:ascii="Times New Roman" w:hAnsi="Times New Roman" w:cs="Times New Roman"/>
        </w:rPr>
      </w:pPr>
      <w:r w:rsidRPr="00C50A17">
        <w:rPr>
          <w:rFonts w:ascii="Times New Roman" w:hAnsi="Times New Roman" w:cs="Times New Roman"/>
        </w:rPr>
        <w:t xml:space="preserve">Lester, S.C. (2006) </w:t>
      </w:r>
      <w:r w:rsidRPr="00C50A17">
        <w:rPr>
          <w:rFonts w:ascii="Times New Roman" w:hAnsi="Times New Roman" w:cs="Times New Roman"/>
          <w:i/>
        </w:rPr>
        <w:t xml:space="preserve">Manual of Surgical Pathology, </w:t>
      </w:r>
      <w:r w:rsidRPr="00C50A17">
        <w:rPr>
          <w:rFonts w:ascii="Times New Roman" w:hAnsi="Times New Roman" w:cs="Times New Roman"/>
        </w:rPr>
        <w:t>Second edition. Maryland Heights, MO: Elsevier Churchill Livingstone</w:t>
      </w:r>
    </w:p>
    <w:p w:rsidR="003F001D" w:rsidRPr="003F001D" w:rsidRDefault="003F001D" w:rsidP="00D4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470" w:rsidRPr="00390EA5" w:rsidRDefault="00E57816" w:rsidP="009F5470">
      <w:pPr>
        <w:rPr>
          <w:rFonts w:ascii="Times New Roman" w:hAnsi="Times New Roman" w:cs="Times New Roman"/>
        </w:rPr>
      </w:pPr>
      <w:r w:rsidRPr="00390EA5">
        <w:rPr>
          <w:rFonts w:ascii="Times New Roman" w:hAnsi="Times New Roman" w:cs="Times New Roman"/>
        </w:rPr>
        <w:t>Wick, et al. (2015)</w:t>
      </w:r>
      <w:r w:rsidRPr="00390EA5">
        <w:rPr>
          <w:rStyle w:val="Emphasis"/>
          <w:rFonts w:ascii="Times New Roman" w:hAnsi="Times New Roman" w:cs="Times New Roman"/>
          <w:lang w:val="en"/>
        </w:rPr>
        <w:t xml:space="preserve"> Silverberg’s Principles and Practice of Surgical Pathology and Cytopathology</w:t>
      </w:r>
      <w:r w:rsidRPr="00390EA5">
        <w:rPr>
          <w:rFonts w:ascii="Times New Roman" w:hAnsi="Times New Roman" w:cs="Times New Roman"/>
          <w:lang w:val="en"/>
        </w:rPr>
        <w:t>, Fifth edition, ed. Cambridge: Cambridge Uni</w:t>
      </w:r>
      <w:bookmarkStart w:id="0" w:name="_GoBack"/>
      <w:bookmarkEnd w:id="0"/>
      <w:r w:rsidRPr="00390EA5">
        <w:rPr>
          <w:rFonts w:ascii="Times New Roman" w:hAnsi="Times New Roman" w:cs="Times New Roman"/>
          <w:lang w:val="en"/>
        </w:rPr>
        <w:t>versity Press</w:t>
      </w:r>
    </w:p>
    <w:sectPr w:rsidR="009F5470" w:rsidRPr="00390EA5" w:rsidSect="00E872E3">
      <w:headerReference w:type="default" r:id="rId9"/>
      <w:headerReference w:type="first" r:id="rId10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E8" w:rsidRDefault="00B735E8" w:rsidP="00C84ED3">
      <w:pPr>
        <w:spacing w:after="0" w:line="240" w:lineRule="auto"/>
      </w:pPr>
      <w:r>
        <w:separator/>
      </w:r>
    </w:p>
  </w:endnote>
  <w:endnote w:type="continuationSeparator" w:id="0">
    <w:p w:rsidR="00B735E8" w:rsidRDefault="00B735E8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E8" w:rsidRDefault="00B735E8" w:rsidP="00C84ED3">
      <w:pPr>
        <w:spacing w:after="0" w:line="240" w:lineRule="auto"/>
      </w:pPr>
      <w:r>
        <w:separator/>
      </w:r>
    </w:p>
  </w:footnote>
  <w:footnote w:type="continuationSeparator" w:id="0">
    <w:p w:rsidR="00B735E8" w:rsidRDefault="00B735E8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C50A17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C50A17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E3" w:rsidRDefault="003F7026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818515</wp:posOffset>
              </wp:positionH>
              <wp:positionV relativeFrom="paragraph">
                <wp:posOffset>71120</wp:posOffset>
              </wp:positionV>
              <wp:extent cx="4356100" cy="802005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221" w:rsidRDefault="00446221" w:rsidP="00283BF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3468A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:rsidR="003468AF" w:rsidRPr="00E872E3" w:rsidRDefault="00E57816" w:rsidP="00283BF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Ophthalmic </w:t>
                          </w:r>
                          <w:r w:rsidR="003468AF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Globes</w:t>
                          </w:r>
                        </w:p>
                        <w:p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Printed Copies are not always up-to-date-See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5.6pt;width:343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EEjgIAAKMFAAAOAAAAZHJzL2Uyb0RvYy54bWysVEtPGzEQvlfqf7B8L7uBhNKIDUqDqCpF&#10;gAoVZ8drJxa2x7Wd7Ka/nrF38yjlQtWLPfZ8835cXrVGk43wQYGt6OCkpERYDrWyy4r+fLz5dEFJ&#10;iMzWTIMVFd2KQK8mHz9cNm4sTmEFuhaeoBIbxo2r6CpGNy6KwFfCsHACTlhkSvCGRXz6ZVF71qB2&#10;o4vTsjwvGvC188BFCPh73THpJOuXUvB4J2UQkeiKom8xnz6fi3QWk0s2XnrmVor3brB/8MIwZdHo&#10;XtU1i4ysvfpLlVHcQwAZTziYAqRUXOQYMJpB+SqahxVzIseCyQlun6bw/9Ty2829J6rG2lFimcES&#10;PYo2kq/QkkHKTuPCGEEPDmGxxe+ETJEGNwf+HBBSHGE6gYDohGmlN+nGOAkKYgG2+6QnKxw/h2ej&#10;80GJLI68ixKLOkp2i4O08yF+E2BIIirqsajZA7aZh9hBd5DsGGhV3yit8yM1kphpTzYMW0DHHBQq&#10;D8cobUlT0fOzUZkVW0jinWZtkxqRW6k3l8LtIsxU3GqRMNr+EBJTmQN9wzbjXNi9/YxOKImm3iPY&#10;4w9evUe4iwMlsmWwcS9slAXfFfbPlNXPu5TJDt8XPHRxpxTEdtFithK5gHqLneKhm7Tg+I3Cqs1Z&#10;iPfM42hhoXFdxDs8pAbMOvQUJSvwv9/6T3jseORS0uCoVjT8WjMvKNHfLc7Cl8FwmGY7P4ajz6f4&#10;8MecxTHHrs0MsBWw39G7TCZ81DtSejBPuFWmySqymOVou6JxR85it0BwK3ExnWYQTrNjcW4fHN8N&#10;SOrJx/aJedc3bsSWv4XdULPxq/7tsKkwFqbrCFLl5j5ktU88boI8Hv3WSqvm+J1Rh906eQEAAP//&#10;AwBQSwMEFAAGAAgAAAAhAC4rlwvfAAAACgEAAA8AAABkcnMvZG93bnJldi54bWxMj81OwzAQhO9I&#10;vIO1SFyq1kn4CyFOhRCV2kMPpFx6c+MliYjXke224e1ZTuW2Mzua/bZcTnYQJ/Shd6QgXSQgkBpn&#10;emoVfO5W8xxEiJqMHhyhgh8MsKyur0pdGHemDzzVsRVcQqHQCroYx0LK0HRodVi4EYl3X85bHVn6&#10;Vhqvz1xuB5klyaO0uie+0OkR3zpsvuujVbAN+/Vs79erWR2M3CBu3zdpVOr2Znp9ARFxipcw/OEz&#10;OlTMdHBHMkEMrLP8maM8pBkIDuTpPRsHNu6eHkBWpfz/QvULAAD//wMAUEsBAi0AFAAGAAgAAAAh&#10;ALaDOJL+AAAA4QEAABMAAAAAAAAAAAAAAAAAAAAAAFtDb250ZW50X1R5cGVzXS54bWxQSwECLQAU&#10;AAYACAAAACEAOP0h/9YAAACUAQAACwAAAAAAAAAAAAAAAAAvAQAAX3JlbHMvLnJlbHNQSwECLQAU&#10;AAYACAAAACEAkGuBBI4CAACjBQAADgAAAAAAAAAAAAAAAAAuAgAAZHJzL2Uyb0RvYy54bWxQSwEC&#10;LQAUAAYACAAAACEALiuXC98AAAAKAQAADwAAAAAAAAAAAAAAAADoBAAAZHJzL2Rvd25yZXYueG1s&#10;UEsFBgAAAAAEAAQA8wAAAPQFAAAAAA==&#10;" fillcolor="white [3201]" stroked="f" strokeweight=".5pt">
              <v:path arrowok="t"/>
              <v:textbox>
                <w:txbxContent>
                  <w:p w:rsidR="00446221" w:rsidRDefault="00446221" w:rsidP="00283BF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3468A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:rsidR="003468AF" w:rsidRPr="00E872E3" w:rsidRDefault="00E57816" w:rsidP="00283BF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Ophthalmic </w:t>
                    </w:r>
                    <w:r w:rsidR="003468AF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Globes</w:t>
                    </w:r>
                  </w:p>
                  <w:p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Printed Copies are not always up-to-date-See online for current version.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-43815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:rsidR="00446221" w:rsidRPr="00E872E3" w:rsidRDefault="003F7026" w:rsidP="003F7026">
    <w:pPr>
      <w:pStyle w:val="Header"/>
      <w:tabs>
        <w:tab w:val="clear" w:pos="4680"/>
        <w:tab w:val="left" w:pos="1719"/>
        <w:tab w:val="left" w:pos="2948"/>
        <w:tab w:val="left" w:pos="8640"/>
        <w:tab w:val="left" w:pos="9360"/>
      </w:tabs>
      <w:rPr>
        <w:rFonts w:ascii="Arial" w:hAnsi="Arial" w:cs="Arial"/>
        <w:sz w:val="28"/>
      </w:rPr>
    </w:pPr>
    <w:r>
      <w:tab/>
    </w:r>
    <w:r>
      <w:tab/>
    </w:r>
    <w:r w:rsidR="00E872E3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C50A17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C50A17">
      <w:rPr>
        <w:rFonts w:ascii="Arial" w:hAnsi="Arial" w:cs="Arial"/>
        <w:noProof/>
        <w:sz w:val="28"/>
      </w:rPr>
      <w:t>2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4D9"/>
    <w:multiLevelType w:val="hybridMultilevel"/>
    <w:tmpl w:val="DEC8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A75"/>
    <w:multiLevelType w:val="hybridMultilevel"/>
    <w:tmpl w:val="D3A0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B71"/>
    <w:multiLevelType w:val="hybridMultilevel"/>
    <w:tmpl w:val="51E2A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437F"/>
    <w:multiLevelType w:val="hybridMultilevel"/>
    <w:tmpl w:val="52A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5362E"/>
    <w:multiLevelType w:val="hybridMultilevel"/>
    <w:tmpl w:val="03E6E5EC"/>
    <w:lvl w:ilvl="0" w:tplc="B6626F4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FEC"/>
    <w:multiLevelType w:val="hybridMultilevel"/>
    <w:tmpl w:val="03206128"/>
    <w:lvl w:ilvl="0" w:tplc="9B5EF8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F74EC"/>
    <w:multiLevelType w:val="hybridMultilevel"/>
    <w:tmpl w:val="87F8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55"/>
    <w:rsid w:val="000850CB"/>
    <w:rsid w:val="000B3EC7"/>
    <w:rsid w:val="000D6344"/>
    <w:rsid w:val="00167356"/>
    <w:rsid w:val="00171E4F"/>
    <w:rsid w:val="001C47DF"/>
    <w:rsid w:val="00272137"/>
    <w:rsid w:val="00283BF5"/>
    <w:rsid w:val="002C05F6"/>
    <w:rsid w:val="002C76E3"/>
    <w:rsid w:val="002E65EF"/>
    <w:rsid w:val="00301DAA"/>
    <w:rsid w:val="00317162"/>
    <w:rsid w:val="00321CC5"/>
    <w:rsid w:val="003468AF"/>
    <w:rsid w:val="00390EA5"/>
    <w:rsid w:val="003C25FB"/>
    <w:rsid w:val="003D53B3"/>
    <w:rsid w:val="003F001D"/>
    <w:rsid w:val="003F7026"/>
    <w:rsid w:val="004407B9"/>
    <w:rsid w:val="00446221"/>
    <w:rsid w:val="00551728"/>
    <w:rsid w:val="00665E28"/>
    <w:rsid w:val="006F3974"/>
    <w:rsid w:val="007B2333"/>
    <w:rsid w:val="007B25FF"/>
    <w:rsid w:val="007D0814"/>
    <w:rsid w:val="00811CEE"/>
    <w:rsid w:val="00840125"/>
    <w:rsid w:val="008A43BF"/>
    <w:rsid w:val="008D351E"/>
    <w:rsid w:val="00950234"/>
    <w:rsid w:val="00955374"/>
    <w:rsid w:val="0096388F"/>
    <w:rsid w:val="009C4727"/>
    <w:rsid w:val="009F5470"/>
    <w:rsid w:val="00A01DE9"/>
    <w:rsid w:val="00AE367E"/>
    <w:rsid w:val="00B013D3"/>
    <w:rsid w:val="00B50DE6"/>
    <w:rsid w:val="00B612BD"/>
    <w:rsid w:val="00B64D17"/>
    <w:rsid w:val="00B735E8"/>
    <w:rsid w:val="00B90A51"/>
    <w:rsid w:val="00BA4C99"/>
    <w:rsid w:val="00BA588D"/>
    <w:rsid w:val="00BE30D9"/>
    <w:rsid w:val="00BE4F6C"/>
    <w:rsid w:val="00BE5C46"/>
    <w:rsid w:val="00BF1046"/>
    <w:rsid w:val="00C50A17"/>
    <w:rsid w:val="00C84ED3"/>
    <w:rsid w:val="00D357D6"/>
    <w:rsid w:val="00D4158B"/>
    <w:rsid w:val="00D81746"/>
    <w:rsid w:val="00DA32D0"/>
    <w:rsid w:val="00DA6CC9"/>
    <w:rsid w:val="00DE16DB"/>
    <w:rsid w:val="00E03C5B"/>
    <w:rsid w:val="00E32F71"/>
    <w:rsid w:val="00E47039"/>
    <w:rsid w:val="00E57816"/>
    <w:rsid w:val="00E872E3"/>
    <w:rsid w:val="00E91223"/>
    <w:rsid w:val="00ED4620"/>
    <w:rsid w:val="00F23896"/>
    <w:rsid w:val="00F966F6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E4B036"/>
  <w15:docId w15:val="{5F8E5A0E-AD59-463C-BBA7-6B6D3BDD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2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4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9C4727"/>
  </w:style>
  <w:style w:type="character" w:styleId="FollowedHyperlink">
    <w:name w:val="FollowedHyperlink"/>
    <w:basedOn w:val="DefaultParagraphFont"/>
    <w:uiPriority w:val="99"/>
    <w:semiHidden/>
    <w:unhideWhenUsed/>
    <w:rsid w:val="00DA32D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C05F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5781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MLASeventhEditionOfficeOnline.xsl" StyleName="MLA" Version="7">
  <ns30:Source>
    <ns30:Tag>Wad00</ns30:Tag>
    <ns30:SourceType>JournalArticle</ns30:SourceType>
    <ns30:Guid>{F64E6521-72DE-452E-9793-D767CDFA6DB1}</ns30:Guid>
    <ns30:Author>
      <ns30:Author>
        <ns30:NameList>
          <ns30:Person>
            <ns30:Last>Waddington</ns30:Last>
            <ns30:First>W.A.</ns30:First>
          </ns30:Person>
          <ns30:Person>
            <ns30:Last>Keshtgar</ns30:Last>
            <ns30:First>M.R.S.</ns30:First>
          </ns30:Person>
          <ns30:Person>
            <ns30:Last>Taylor</ns30:Last>
            <ns30:First>I.</ns30:First>
          </ns30:Person>
          <ns30:Person>
            <ns30:Last>Lakhani</ns30:Last>
            <ns30:First>S.R.</ns30:First>
          </ns30:Person>
          <ns30:Person>
            <ns30:Last>Short</ns30:Last>
            <ns30:First>M.D.</ns30:First>
          </ns30:Person>
          <ns30:Person>
            <ns30:Last>Ell</ns30:Last>
            <ns30:First>P.J.</ns30:First>
          </ns30:Person>
        </ns30:NameList>
      </ns30:Author>
    </ns30:Author>
    <ns30:Title>Radiation safety of the sentinel lymph node technique</ns30:Title>
    <ns30:JournalName>European Journal of Nuclear Medicine Vol. 27, No.4</ns30:JournalName>
    <ns30:Year>April 2000</ns30:Year>
    <b:RefOrder xmlns:b="http://schemas.openxmlformats.org/officeDocument/2006/bibliography">1</b:RefOrder>
  </ns30:Source>
  <ns30:Source>
    <ns30:Tag>Fit00</ns30:Tag>
    <ns30:SourceType>JournalArticle</ns30:SourceType>
    <ns30:Guid>{043F3580-1851-4397-976D-C668F11D6432}</ns30:Guid>
    <ns30:Author>
      <ns30:Author>
        <ns30:NameList>
          <ns30:Person>
            <ns30:Last>Fitzgibbons</ns30:Last>
            <ns30:First>P.L.</ns30:First>
          </ns30:Person>
          <ns30:Person>
            <ns30:Last>LiVolsi</ns30:Last>
            <ns30:First>V.A.</ns30:First>
          </ns30:Person>
        </ns30:NameList>
      </ns30:Author>
    </ns30:Author>
    <ns30:Title>Recommendations for Handling Radioactive Specimens Obtained by Sentinel Lymphadenectomy</ns30:Title>
    <ns30:JournalName>The American Journal of Surgical Pathology 24(11)</ns30:JournalName>
    <ns30:Year>2000</ns30:Year>
    <ns30:Pages>1549-1551</ns30:Pages>
    <b:RefOrder xmlns:b="http://schemas.openxmlformats.org/officeDocument/2006/bibliography">2</b:RefOrder>
  </ns30:Source>
  <ns30:Source>
    <ns30:Tag>Dug02</ns30:Tag>
    <ns30:SourceType>Misc</ns30:SourceType>
    <ns30:Guid>{97CEAEAE-3532-45AE-A019-5CE0ADDAC500}</ns30:Guid>
    <ns30:Author>
      <ns30:Author>
        <ns30:NameList>
          <ns30:Person>
            <ns30:Last>Dugan</ns30:Last>
            <ns30:First>R.D.</ns30:First>
            <ns30:Middle>Radiation Safety Service OSEH - UMHS Safety Management Services</ns30:Middle>
          </ns30:Person>
        </ns30:NameList>
      </ns30:Author>
    </ns30:Author>
    <ns30:Title>Handling Radioactive Lymphoscintigraphy Tissues</ns30:Title>
    <ns30:Year>2002</ns30:Year>
    <ns30:Month>January</ns30:Month>
    <ns30:Day>29</ns30:Day>
    <ns30:Publisher>OSEH </ns30:Publisher>
    <b:RefOrder xmlns:b="http://schemas.openxmlformats.org/officeDocument/2006/bibliography">3</b:RefOrder>
  </ns30:Source>
</ns30:Sources>
</file>

<file path=customXml/itemProps1.xml><?xml version="1.0" encoding="utf-8"?>
<ds:datastoreItem xmlns:ds="http://schemas.openxmlformats.org/officeDocument/2006/customXml" ds:itemID="{04E958CC-77C8-483D-B2ED-627CCD6B2DE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maeganh</dc:creator>
  <cp:lastModifiedBy>Gabbeart, Matt</cp:lastModifiedBy>
  <cp:revision>2</cp:revision>
  <dcterms:created xsi:type="dcterms:W3CDTF">2018-05-16T19:43:00Z</dcterms:created>
  <dcterms:modified xsi:type="dcterms:W3CDTF">2018-05-16T19:43:00Z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GROSSING - Specimens Containing Radioactive Materials</vt:lpwstr>
  </property>
  <property fmtid="{D5CDD505-2E9C-101B-9397-08002B2CF9AE}" pid="3" name="MC_Number">
    <vt:lpwstr>HIST-PROC-0072</vt:lpwstr>
  </property>
  <property fmtid="{D5CDD505-2E9C-101B-9397-08002B2CF9AE}" pid="4" name="MC_Revision">
    <vt:lpwstr>04</vt:lpwstr>
  </property>
  <property fmtid="{D5CDD505-2E9C-101B-9397-08002B2CF9AE}" pid="5" name="MC_Author">
    <vt:lpwstr/>
  </property>
  <property fmtid="{D5CDD505-2E9C-101B-9397-08002B2CF9AE}" pid="6" name="MC_Owner">
    <vt:lpwstr>ZUPANCIC</vt:lpwstr>
  </property>
  <property fmtid="{D5CDD505-2E9C-101B-9397-08002B2CF9AE}" pid="7" name="MC_Notes">
    <vt:lpwstr>upload into new MC template with revisions</vt:lpwstr>
  </property>
  <property fmtid="{D5CDD505-2E9C-101B-9397-08002B2CF9AE}" pid="8" name="MC_Vaults">
    <vt:lpwstr> </vt:lpwstr>
  </property>
  <property fmtid="{D5CDD505-2E9C-101B-9397-08002B2CF9AE}" pid="9" name="MC_Status">
    <vt:lpwstr>Release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  <property fmtid="{D5CDD505-2E9C-101B-9397-08002B2CF9AE}" pid="16" name="MC_EffectiveDate">
    <vt:lpwstr>03 Jun 2015</vt:lpwstr>
  </property>
  <property fmtid="{D5CDD505-2E9C-101B-9397-08002B2CF9AE}" pid="17" name="MC_ReleaseDate">
    <vt:lpwstr>03 Jun 2015</vt:lpwstr>
  </property>
  <property fmtid="{D5CDD505-2E9C-101B-9397-08002B2CF9AE}" pid="18" name="MC_ExpirationDate">
    <vt:lpwstr/>
  </property>
  <property fmtid="{D5CDD505-2E9C-101B-9397-08002B2CF9AE}" pid="19" name="MC_CreatedDate">
    <vt:lpwstr>20 May 2015</vt:lpwstr>
  </property>
  <property fmtid="{D5CDD505-2E9C-101B-9397-08002B2CF9AE}" pid="20" name="MC_NextReviewDate">
    <vt:lpwstr>27 Apr 2019</vt:lpwstr>
  </property>
  <property fmtid="{D5CDD505-2E9C-101B-9397-08002B2CF9AE}" pid="21" name="MC_Vault">
    <vt:lpwstr>HIST-rel</vt:lpwstr>
  </property>
</Properties>
</file>