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70" w:rsidRDefault="009F5470"/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BE30D9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:rsidR="00E661C5" w:rsidRPr="00E661C5" w:rsidRDefault="00E661C5" w:rsidP="00E661C5">
      <w:pPr>
        <w:pStyle w:val="headinganchor"/>
        <w:shd w:val="clear" w:color="auto" w:fill="FFFFFF"/>
        <w:spacing w:before="0" w:beforeAutospacing="0" w:after="150" w:afterAutospacing="0" w:line="282" w:lineRule="atLeast"/>
        <w:rPr>
          <w:color w:val="000000"/>
        </w:rPr>
      </w:pPr>
      <w:proofErr w:type="spellStart"/>
      <w:r w:rsidRPr="00E661C5">
        <w:rPr>
          <w:color w:val="000000"/>
        </w:rPr>
        <w:t>Synovect</w:t>
      </w:r>
      <w:r w:rsidR="00326BA0">
        <w:rPr>
          <w:color w:val="000000"/>
        </w:rPr>
        <w:t>omy</w:t>
      </w:r>
      <w:proofErr w:type="spellEnd"/>
      <w:r w:rsidR="00326BA0">
        <w:rPr>
          <w:color w:val="000000"/>
        </w:rPr>
        <w:t xml:space="preserve"> refers to the</w:t>
      </w:r>
      <w:r w:rsidRPr="00E661C5">
        <w:rPr>
          <w:color w:val="000000"/>
        </w:rPr>
        <w:t xml:space="preserve"> surgical removal of the membrane (</w:t>
      </w:r>
      <w:proofErr w:type="spellStart"/>
      <w:r w:rsidRPr="00E661C5">
        <w:rPr>
          <w:color w:val="000000"/>
        </w:rPr>
        <w:t>synovium</w:t>
      </w:r>
      <w:proofErr w:type="spellEnd"/>
      <w:r w:rsidRPr="00E661C5">
        <w:rPr>
          <w:color w:val="000000"/>
        </w:rPr>
        <w:t xml:space="preserve">) that lines a joint. As the largest articulation and the one most frequently affected by chronic inflammation, the knee is the joint most often selected for </w:t>
      </w:r>
      <w:proofErr w:type="spellStart"/>
      <w:r w:rsidRPr="00E661C5">
        <w:rPr>
          <w:color w:val="000000"/>
        </w:rPr>
        <w:t>synovectomy</w:t>
      </w:r>
      <w:proofErr w:type="spellEnd"/>
      <w:r w:rsidRPr="00E661C5">
        <w:rPr>
          <w:color w:val="000000"/>
        </w:rPr>
        <w:t>.</w:t>
      </w:r>
      <w:r>
        <w:rPr>
          <w:color w:val="000000"/>
        </w:rPr>
        <w:t xml:space="preserve">  </w:t>
      </w:r>
      <w:r w:rsidRPr="00E661C5">
        <w:rPr>
          <w:color w:val="000000"/>
        </w:rPr>
        <w:t xml:space="preserve">There are various disorders that are indications for </w:t>
      </w:r>
      <w:proofErr w:type="spellStart"/>
      <w:r w:rsidRPr="00E661C5">
        <w:rPr>
          <w:color w:val="000000"/>
        </w:rPr>
        <w:t>synovectomy</w:t>
      </w:r>
      <w:proofErr w:type="spellEnd"/>
      <w:r w:rsidRPr="00E661C5">
        <w:rPr>
          <w:color w:val="000000"/>
        </w:rPr>
        <w:t xml:space="preserve">. Among them are chronic inflammatory </w:t>
      </w:r>
      <w:proofErr w:type="spellStart"/>
      <w:r w:rsidRPr="00E661C5">
        <w:rPr>
          <w:color w:val="000000"/>
        </w:rPr>
        <w:t>arthritides</w:t>
      </w:r>
      <w:proofErr w:type="spellEnd"/>
      <w:r w:rsidRPr="00E661C5">
        <w:rPr>
          <w:color w:val="000000"/>
        </w:rPr>
        <w:t xml:space="preserve"> (</w:t>
      </w:r>
      <w:proofErr w:type="spellStart"/>
      <w:r w:rsidRPr="00E661C5">
        <w:rPr>
          <w:color w:val="000000"/>
        </w:rPr>
        <w:t>eg</w:t>
      </w:r>
      <w:proofErr w:type="spellEnd"/>
      <w:r w:rsidRPr="00E661C5">
        <w:rPr>
          <w:color w:val="000000"/>
        </w:rPr>
        <w:t>, rheumatoid arthritis, psoriatic arthritis, Lyme arthritis), benign neoplastic disorders (</w:t>
      </w:r>
      <w:proofErr w:type="spellStart"/>
      <w:r w:rsidRPr="00E661C5">
        <w:rPr>
          <w:color w:val="000000"/>
        </w:rPr>
        <w:t>eg</w:t>
      </w:r>
      <w:proofErr w:type="spellEnd"/>
      <w:r w:rsidRPr="00E661C5">
        <w:rPr>
          <w:color w:val="000000"/>
        </w:rPr>
        <w:t xml:space="preserve">, </w:t>
      </w:r>
      <w:r w:rsidR="00326BA0">
        <w:rPr>
          <w:color w:val="000000"/>
        </w:rPr>
        <w:t xml:space="preserve">synovial </w:t>
      </w:r>
      <w:proofErr w:type="spellStart"/>
      <w:r w:rsidR="00326BA0">
        <w:rPr>
          <w:color w:val="000000"/>
        </w:rPr>
        <w:t>chondromatosis</w:t>
      </w:r>
      <w:bookmarkStart w:id="0" w:name="_GoBack"/>
      <w:bookmarkEnd w:id="0"/>
      <w:proofErr w:type="spellEnd"/>
      <w:r w:rsidRPr="00E661C5">
        <w:rPr>
          <w:color w:val="000000"/>
        </w:rPr>
        <w:t xml:space="preserve">, pigmented </w:t>
      </w:r>
      <w:proofErr w:type="spellStart"/>
      <w:r w:rsidRPr="00E661C5">
        <w:rPr>
          <w:color w:val="000000"/>
        </w:rPr>
        <w:t>villonodular</w:t>
      </w:r>
      <w:proofErr w:type="spellEnd"/>
      <w:r w:rsidRPr="00E661C5">
        <w:rPr>
          <w:color w:val="000000"/>
        </w:rPr>
        <w:t xml:space="preserve"> </w:t>
      </w:r>
      <w:proofErr w:type="spellStart"/>
      <w:r w:rsidRPr="00E661C5">
        <w:rPr>
          <w:color w:val="000000"/>
        </w:rPr>
        <w:t>synovitis</w:t>
      </w:r>
      <w:proofErr w:type="spellEnd"/>
      <w:r w:rsidRPr="00E661C5">
        <w:rPr>
          <w:color w:val="000000"/>
        </w:rPr>
        <w:t xml:space="preserve">), and recurrent </w:t>
      </w:r>
      <w:proofErr w:type="spellStart"/>
      <w:r w:rsidRPr="00E661C5">
        <w:rPr>
          <w:color w:val="000000"/>
        </w:rPr>
        <w:t>hem</w:t>
      </w:r>
      <w:r>
        <w:rPr>
          <w:color w:val="000000"/>
        </w:rPr>
        <w:t>arthrosis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eg</w:t>
      </w:r>
      <w:proofErr w:type="spellEnd"/>
      <w:r>
        <w:rPr>
          <w:color w:val="000000"/>
        </w:rPr>
        <w:t xml:space="preserve">, hemophilia). </w:t>
      </w:r>
      <w:r>
        <w:rPr>
          <w:rStyle w:val="FootnoteReference"/>
          <w:color w:val="000000"/>
        </w:rPr>
        <w:footnoteReference w:id="1"/>
      </w:r>
    </w:p>
    <w:p w:rsidR="00E661C5" w:rsidRDefault="00E661C5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</w:p>
    <w:p w:rsidR="00301DAA" w:rsidRDefault="00301DAA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Procedure</w:t>
      </w:r>
    </w:p>
    <w:p w:rsidR="00E661C5" w:rsidRPr="00E661C5" w:rsidRDefault="00E661C5" w:rsidP="00E661C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Measure in 3 dimensions the aggregate of tissue.</w:t>
      </w:r>
    </w:p>
    <w:p w:rsidR="00E661C5" w:rsidRPr="00E661C5" w:rsidRDefault="00E661C5" w:rsidP="00E661C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if the tissue is fibrotic, necr</w:t>
      </w:r>
      <w:r w:rsidR="00622ABB">
        <w:rPr>
          <w:rFonts w:ascii="Times New Roman" w:hAnsi="Times New Roman" w:cs="Times New Roman"/>
          <w:sz w:val="24"/>
          <w:szCs w:val="24"/>
        </w:rPr>
        <w:t>otic, nodular or pigmented, etc.</w:t>
      </w:r>
    </w:p>
    <w:p w:rsidR="00E661C5" w:rsidRPr="00E661C5" w:rsidRDefault="00E661C5" w:rsidP="00E661C5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</w:t>
      </w:r>
      <w:r w:rsidR="008B7BBB">
        <w:rPr>
          <w:rFonts w:ascii="Times New Roman" w:hAnsi="Times New Roman" w:cs="Times New Roman"/>
          <w:sz w:val="24"/>
          <w:szCs w:val="24"/>
        </w:rPr>
        <w:t>photos</w:t>
      </w:r>
      <w:r>
        <w:rPr>
          <w:rFonts w:ascii="Times New Roman" w:hAnsi="Times New Roman" w:cs="Times New Roman"/>
          <w:sz w:val="24"/>
          <w:szCs w:val="24"/>
        </w:rPr>
        <w:t xml:space="preserve"> if warranted.</w:t>
      </w:r>
    </w:p>
    <w:p w:rsidR="00E661C5" w:rsidRDefault="00E661C5" w:rsidP="00E661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Sections for histology</w:t>
      </w:r>
    </w:p>
    <w:p w:rsidR="00E661C5" w:rsidRPr="008B7BBB" w:rsidRDefault="008B7BBB" w:rsidP="00E661C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cassette per cm of largest dimensional aggregate.</w:t>
      </w:r>
    </w:p>
    <w:p w:rsidR="008B7BBB" w:rsidRDefault="008B7BBB" w:rsidP="008B7B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Sample Dictation</w:t>
      </w:r>
    </w:p>
    <w:p w:rsidR="008B7BBB" w:rsidRDefault="008B7BBB" w:rsidP="008B7B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“Right knee </w:t>
      </w:r>
      <w:proofErr w:type="spellStart"/>
      <w:r>
        <w:rPr>
          <w:rFonts w:ascii="Times New Roman" w:hAnsi="Times New Roman" w:cs="Times New Roman"/>
          <w:sz w:val="24"/>
          <w:szCs w:val="24"/>
        </w:rPr>
        <w:t>synovium</w:t>
      </w:r>
      <w:proofErr w:type="spellEnd"/>
      <w:r>
        <w:rPr>
          <w:rFonts w:ascii="Times New Roman" w:hAnsi="Times New Roman" w:cs="Times New Roman"/>
          <w:sz w:val="24"/>
          <w:szCs w:val="24"/>
        </w:rPr>
        <w:t>”, Received in a small container filled with formalin is a 3.5 x 2.0 x 1.2 cm aggregate of nodular, fibrous tissue. A1. 5ss</w:t>
      </w:r>
    </w:p>
    <w:p w:rsidR="008B7BBB" w:rsidRDefault="008B7BBB" w:rsidP="008B7B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BBB" w:rsidRDefault="008B7BBB" w:rsidP="008B7B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BBB" w:rsidRDefault="008B7BBB" w:rsidP="008B7B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BBB" w:rsidRDefault="008B7BBB" w:rsidP="008B7B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BBB" w:rsidRDefault="008B7BBB" w:rsidP="008B7B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BBB" w:rsidRDefault="008B7BBB" w:rsidP="008B7B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7BBB" w:rsidRPr="008B7BBB" w:rsidRDefault="008B7BBB" w:rsidP="008B7BB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B7BBB">
        <w:rPr>
          <w:rFonts w:ascii="Times New Roman" w:hAnsi="Times New Roman" w:cs="Times New Roman"/>
          <w:b/>
          <w:sz w:val="24"/>
          <w:szCs w:val="24"/>
        </w:rPr>
        <w:lastRenderedPageBreak/>
        <w:t>Sample Photograph</w:t>
      </w:r>
    </w:p>
    <w:p w:rsidR="00551728" w:rsidRPr="008A43BF" w:rsidRDefault="00551728" w:rsidP="00D41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30D9" w:rsidRDefault="00C70B33" w:rsidP="00B90A5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3545518" cy="4476988"/>
            <wp:effectExtent l="0" t="8572" r="8572" b="8573"/>
            <wp:docPr id="2" name="Picture 2" descr="C:\Users\mcgabb\AppData\Local\Microsoft\Windows\Temporary Internet Files\Content.Outlook\PM5B4DAK\IMG_2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gabb\AppData\Local\Microsoft\Windows\Temporary Internet Files\Content.Outlook\PM5B4DAK\IMG_24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86" t="1" r="22779" b="-419"/>
                    <a:stretch/>
                  </pic:blipFill>
                  <pic:spPr bwMode="auto">
                    <a:xfrm rot="5400000">
                      <a:off x="0" y="0"/>
                      <a:ext cx="3544490" cy="447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3596" w:rsidRDefault="00DF3596" w:rsidP="00B90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Photo of pigmented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villonodular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synovitis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Notice the brown pigmentation due to </w:t>
      </w:r>
      <w:proofErr w:type="spellStart"/>
      <w:r>
        <w:rPr>
          <w:rFonts w:ascii="Times New Roman" w:hAnsi="Times New Roman" w:cs="Times New Roman"/>
          <w:sz w:val="24"/>
          <w:szCs w:val="24"/>
        </w:rPr>
        <w:t>hemodsiderin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laden macrophages.</w:t>
      </w:r>
    </w:p>
    <w:p w:rsidR="008B7BBB" w:rsidRDefault="008B7BBB" w:rsidP="00B90A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B7BBB" w:rsidRPr="00622ABB" w:rsidRDefault="00622ABB" w:rsidP="00B90A5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622ABB">
        <w:rPr>
          <w:rFonts w:ascii="Arial" w:hAnsi="Arial" w:cs="Arial"/>
          <w:b/>
          <w:sz w:val="28"/>
          <w:szCs w:val="28"/>
        </w:rPr>
        <w:t>References</w:t>
      </w:r>
    </w:p>
    <w:p w:rsidR="00622ABB" w:rsidRPr="00622ABB" w:rsidRDefault="00622ABB" w:rsidP="00622AB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22ABB">
        <w:rPr>
          <w:rFonts w:ascii="Times New Roman" w:hAnsi="Times New Roman" w:cs="Times New Roman"/>
          <w:sz w:val="24"/>
          <w:szCs w:val="24"/>
        </w:rPr>
        <w:t>http://www.uptodate.com/contents/synovectomy-for-inflammatory-arthritis-of-the-knee</w:t>
      </w:r>
    </w:p>
    <w:sectPr w:rsidR="00622ABB" w:rsidRPr="00622ABB" w:rsidSect="00E872E3">
      <w:headerReference w:type="default" r:id="rId10"/>
      <w:headerReference w:type="first" r:id="rId11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B33" w:rsidRDefault="00C70B33" w:rsidP="00C84ED3">
      <w:pPr>
        <w:spacing w:after="0" w:line="240" w:lineRule="auto"/>
      </w:pPr>
      <w:r>
        <w:separator/>
      </w:r>
    </w:p>
  </w:endnote>
  <w:endnote w:type="continuationSeparator" w:id="0">
    <w:p w:rsidR="00C70B33" w:rsidRDefault="00C70B33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B33" w:rsidRDefault="00C70B33" w:rsidP="00C84ED3">
      <w:pPr>
        <w:spacing w:after="0" w:line="240" w:lineRule="auto"/>
      </w:pPr>
      <w:r>
        <w:separator/>
      </w:r>
    </w:p>
  </w:footnote>
  <w:footnote w:type="continuationSeparator" w:id="0">
    <w:p w:rsidR="00C70B33" w:rsidRDefault="00C70B33" w:rsidP="00C84ED3">
      <w:pPr>
        <w:spacing w:after="0" w:line="240" w:lineRule="auto"/>
      </w:pPr>
      <w:r>
        <w:continuationSeparator/>
      </w:r>
    </w:p>
  </w:footnote>
  <w:footnote w:id="1">
    <w:p w:rsidR="00E661C5" w:rsidRDefault="00E661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661C5">
        <w:t>http://www.uptodate.com/contents/synovectomy-for-inflammatory-arthritis-of-the-knee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780262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780262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05C0F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DD5670C" wp14:editId="2EDF323E">
          <wp:simplePos x="0" y="0"/>
          <wp:positionH relativeFrom="column">
            <wp:posOffset>-621665</wp:posOffset>
          </wp:positionH>
          <wp:positionV relativeFrom="paragraph">
            <wp:posOffset>136525</wp:posOffset>
          </wp:positionV>
          <wp:extent cx="1390015" cy="7131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2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74A2B" wp14:editId="1E051EB4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221" w:rsidRPr="00E872E3" w:rsidRDefault="0044622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C70B3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446221" w:rsidRPr="00E872E3" w:rsidRDefault="00C70B33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Synovium</w:t>
                          </w:r>
                          <w:proofErr w:type="spellEnd"/>
                        </w:p>
                        <w:p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446221" w:rsidRPr="00E872E3" w:rsidRDefault="0044622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C70B3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446221" w:rsidRPr="00E872E3" w:rsidRDefault="00C70B33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Synovium</w:t>
                    </w:r>
                    <w:proofErr w:type="spellEnd"/>
                  </w:p>
                  <w:p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 w:rsidR="00E872E3">
      <w:tab/>
    </w:r>
    <w:r w:rsidR="00E872E3"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780262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780262">
      <w:rPr>
        <w:rFonts w:ascii="Arial" w:hAnsi="Arial" w:cs="Arial"/>
        <w:noProof/>
        <w:sz w:val="28"/>
      </w:rPr>
      <w:t>2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F3"/>
    <w:multiLevelType w:val="hybridMultilevel"/>
    <w:tmpl w:val="3B38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D10FD"/>
    <w:multiLevelType w:val="hybridMultilevel"/>
    <w:tmpl w:val="AB7EA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BF40C5"/>
    <w:multiLevelType w:val="hybridMultilevel"/>
    <w:tmpl w:val="2122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33"/>
    <w:rsid w:val="000850CB"/>
    <w:rsid w:val="000B3EC7"/>
    <w:rsid w:val="000D6344"/>
    <w:rsid w:val="00171E4F"/>
    <w:rsid w:val="001C2FFD"/>
    <w:rsid w:val="00283BF5"/>
    <w:rsid w:val="00301DAA"/>
    <w:rsid w:val="00321CC5"/>
    <w:rsid w:val="00326BA0"/>
    <w:rsid w:val="003C25FB"/>
    <w:rsid w:val="00446221"/>
    <w:rsid w:val="00551728"/>
    <w:rsid w:val="00622ABB"/>
    <w:rsid w:val="00665E28"/>
    <w:rsid w:val="00743C82"/>
    <w:rsid w:val="00780262"/>
    <w:rsid w:val="007B25FF"/>
    <w:rsid w:val="007D0814"/>
    <w:rsid w:val="00811CEE"/>
    <w:rsid w:val="00840125"/>
    <w:rsid w:val="008A43BF"/>
    <w:rsid w:val="008A55B9"/>
    <w:rsid w:val="008B7BBB"/>
    <w:rsid w:val="008D351E"/>
    <w:rsid w:val="00950234"/>
    <w:rsid w:val="00955374"/>
    <w:rsid w:val="0096388F"/>
    <w:rsid w:val="009F442C"/>
    <w:rsid w:val="009F5470"/>
    <w:rsid w:val="00A77ABB"/>
    <w:rsid w:val="00AE367E"/>
    <w:rsid w:val="00B013D3"/>
    <w:rsid w:val="00B50DE6"/>
    <w:rsid w:val="00B612BD"/>
    <w:rsid w:val="00B62B1D"/>
    <w:rsid w:val="00B90A51"/>
    <w:rsid w:val="00BA4C99"/>
    <w:rsid w:val="00BA588D"/>
    <w:rsid w:val="00BE30D9"/>
    <w:rsid w:val="00BF1046"/>
    <w:rsid w:val="00C70B33"/>
    <w:rsid w:val="00C84ED3"/>
    <w:rsid w:val="00D357D6"/>
    <w:rsid w:val="00D4158B"/>
    <w:rsid w:val="00D81746"/>
    <w:rsid w:val="00DA6CC9"/>
    <w:rsid w:val="00DF3596"/>
    <w:rsid w:val="00E03C5B"/>
    <w:rsid w:val="00E05C0F"/>
    <w:rsid w:val="00E32F71"/>
    <w:rsid w:val="00E47039"/>
    <w:rsid w:val="00E661C5"/>
    <w:rsid w:val="00E872E3"/>
    <w:rsid w:val="00E91223"/>
    <w:rsid w:val="00ED4620"/>
    <w:rsid w:val="00F23896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43C82"/>
  </w:style>
  <w:style w:type="paragraph" w:customStyle="1" w:styleId="headinganchor">
    <w:name w:val="headinganchor"/>
    <w:basedOn w:val="Normal"/>
    <w:rsid w:val="00E6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6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61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61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61C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6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43C82"/>
  </w:style>
  <w:style w:type="paragraph" w:customStyle="1" w:styleId="headinganchor">
    <w:name w:val="headinganchor"/>
    <w:basedOn w:val="Normal"/>
    <w:rsid w:val="00E6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6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61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61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61C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66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gabb\AppData\Local\Microsoft\Windows\Temporary%20Internet%20Files\Content.Outlook\PM5B4DAK\Procedure_port_template3%2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0ECD-D232-491E-BBCB-42B6A5F95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Procedure_port_template3 0.dotx</Template>
  <TotalTime>175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Gabbeart, Matt</dc:creator>
  <cp:lastModifiedBy>Gabbeart, Matt</cp:lastModifiedBy>
  <cp:revision>8</cp:revision>
  <dcterms:created xsi:type="dcterms:W3CDTF">2014-12-19T20:36:00Z</dcterms:created>
  <dcterms:modified xsi:type="dcterms:W3CDTF">2015-02-09T15:41:00Z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